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F42B8" w14:textId="3C6B1716" w:rsidR="00841160" w:rsidRDefault="00841160" w:rsidP="00841160">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#8</w:t>
      </w:r>
      <w:r>
        <w:rPr>
          <w:rFonts w:ascii="Arial" w:eastAsia="MS Mincho" w:hAnsi="Arial" w:cs="Arial"/>
          <w:b/>
          <w:bCs/>
          <w:sz w:val="28"/>
          <w:lang w:eastAsia="ja-JP"/>
        </w:rPr>
        <w:t>8bis</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R1-</w:t>
      </w:r>
      <w:r w:rsidR="0017207A" w:rsidRPr="0017207A">
        <w:rPr>
          <w:rFonts w:ascii="Arial" w:hAnsi="Arial" w:cs="Arial"/>
          <w:b/>
          <w:bCs/>
          <w:sz w:val="28"/>
        </w:rPr>
        <w:t>1705027</w:t>
      </w:r>
    </w:p>
    <w:p w14:paraId="65CF664E" w14:textId="77777777" w:rsidR="00841160" w:rsidRDefault="00841160" w:rsidP="0084116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Pr>
          <w:rFonts w:ascii="Arial" w:hAnsi="Arial" w:cs="Arial"/>
          <w:b/>
          <w:bCs/>
          <w:sz w:val="28"/>
        </w:rPr>
        <w:t xml:space="preserve">, </w:t>
      </w:r>
      <w:r>
        <w:rPr>
          <w:rFonts w:ascii="Arial" w:eastAsia="MS Mincho" w:hAnsi="Arial" w:cs="Arial"/>
          <w:b/>
          <w:bCs/>
          <w:sz w:val="28"/>
          <w:lang w:eastAsia="ja-JP"/>
        </w:rPr>
        <w:t>USA</w:t>
      </w:r>
      <w:r>
        <w:rPr>
          <w:rFonts w:ascii="Arial" w:hAnsi="Arial" w:cs="Arial"/>
          <w:b/>
          <w:bCs/>
          <w:sz w:val="28"/>
        </w:rPr>
        <w:t xml:space="preserve">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April</w:t>
      </w:r>
      <w:r>
        <w:rPr>
          <w:rFonts w:ascii="Arial" w:hAnsi="Arial" w:cs="Arial"/>
          <w:b/>
          <w:bCs/>
          <w:sz w:val="28"/>
        </w:rPr>
        <w:t xml:space="preserve"> 201</w:t>
      </w:r>
      <w:r>
        <w:rPr>
          <w:rFonts w:ascii="Arial" w:eastAsia="MS Mincho" w:hAnsi="Arial" w:cs="Arial"/>
          <w:b/>
          <w:bCs/>
          <w:sz w:val="28"/>
          <w:lang w:eastAsia="ja-JP"/>
        </w:rPr>
        <w:t>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42A2F54E"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E5204C" w:rsidRPr="00E5204C">
        <w:rPr>
          <w:rFonts w:ascii="Arial" w:hAnsi="Arial"/>
          <w:sz w:val="24"/>
          <w:lang w:val="en-US"/>
        </w:rPr>
        <w:t>7.2.</w:t>
      </w:r>
      <w:r w:rsidR="00CD1009">
        <w:rPr>
          <w:rFonts w:ascii="Arial" w:hAnsi="Arial"/>
          <w:sz w:val="24"/>
          <w:lang w:val="en-US"/>
        </w:rPr>
        <w:t>8.</w:t>
      </w:r>
      <w:r w:rsidR="00841160">
        <w:rPr>
          <w:rFonts w:ascii="Arial" w:hAnsi="Arial"/>
          <w:sz w:val="24"/>
          <w:lang w:val="en-US"/>
        </w:rPr>
        <w:t>4</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2E42C4F2"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B00B2F">
        <w:rPr>
          <w:rFonts w:ascii="Arial" w:hAnsi="Arial"/>
          <w:sz w:val="24"/>
          <w:lang w:val="en-US"/>
        </w:rPr>
        <w:t>Handover results for aerial ve</w:t>
      </w:r>
      <w:r w:rsidR="00EF3BA8" w:rsidRPr="00EF3BA8">
        <w:rPr>
          <w:rFonts w:ascii="Arial" w:hAnsi="Arial"/>
          <w:sz w:val="24"/>
          <w:lang w:val="en-US"/>
        </w:rPr>
        <w:t>hicles</w:t>
      </w:r>
    </w:p>
    <w:p w14:paraId="76B0159F" w14:textId="0692495D"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46BDCA97" w14:textId="2B64EFCE" w:rsidR="003A17AE" w:rsidRPr="00F16116" w:rsidRDefault="00ED4A2B" w:rsidP="00ED4A2B">
      <w:pPr>
        <w:jc w:val="both"/>
        <w:rPr>
          <w:sz w:val="22"/>
        </w:rPr>
      </w:pPr>
      <w:r w:rsidRPr="00F16116">
        <w:rPr>
          <w:sz w:val="22"/>
        </w:rPr>
        <w:t xml:space="preserve">Cellular connectivity will be key for coordinated operation and control of Unmanned Aerial Vehicles, more commonly referred to as drones, enabling a growing set of use cases within and beyond the operator’s visual line of sight. </w:t>
      </w:r>
      <w:r w:rsidR="005B5005" w:rsidRPr="00F16116">
        <w:rPr>
          <w:sz w:val="22"/>
        </w:rPr>
        <w:t xml:space="preserve">In this contribution, we </w:t>
      </w:r>
      <w:r w:rsidR="0006339B" w:rsidRPr="00F16116">
        <w:rPr>
          <w:sz w:val="22"/>
        </w:rPr>
        <w:t xml:space="preserve">present early results </w:t>
      </w:r>
      <w:r w:rsidR="00B00B2F" w:rsidRPr="00F16116">
        <w:rPr>
          <w:sz w:val="22"/>
        </w:rPr>
        <w:t xml:space="preserve">on </w:t>
      </w:r>
      <w:r w:rsidR="0017207A">
        <w:rPr>
          <w:sz w:val="22"/>
        </w:rPr>
        <w:t>mobility</w:t>
      </w:r>
      <w:r w:rsidR="00B00B2F" w:rsidRPr="00F16116">
        <w:rPr>
          <w:sz w:val="22"/>
        </w:rPr>
        <w:t xml:space="preserve"> </w:t>
      </w:r>
      <w:r w:rsidR="0006339B" w:rsidRPr="00F16116">
        <w:rPr>
          <w:sz w:val="22"/>
        </w:rPr>
        <w:t xml:space="preserve">performance </w:t>
      </w:r>
      <w:r w:rsidR="00A320E8" w:rsidRPr="00F16116">
        <w:rPr>
          <w:sz w:val="22"/>
        </w:rPr>
        <w:t>for considerations in aerial vehicles study</w:t>
      </w:r>
      <w:r w:rsidR="00AE3869" w:rsidRPr="00F16116">
        <w:rPr>
          <w:sz w:val="22"/>
        </w:rPr>
        <w:t>.</w:t>
      </w:r>
    </w:p>
    <w:p w14:paraId="1D3A0347" w14:textId="77777777" w:rsidR="00ED4A2B" w:rsidRDefault="00ED4A2B" w:rsidP="00ED4A2B">
      <w:pPr>
        <w:jc w:val="both"/>
      </w:pPr>
    </w:p>
    <w:p w14:paraId="6D10FA08" w14:textId="3202AD30" w:rsidR="008B368F" w:rsidRDefault="00EE1DB2" w:rsidP="00816C11">
      <w:pPr>
        <w:pStyle w:val="Heading1"/>
        <w:numPr>
          <w:ilvl w:val="0"/>
          <w:numId w:val="2"/>
        </w:numPr>
      </w:pPr>
      <w:r>
        <w:t>Mobility Analysis</w:t>
      </w:r>
    </w:p>
    <w:p w14:paraId="7CB74E32" w14:textId="4AE1F18E" w:rsidR="00EE1DB2" w:rsidRDefault="00EE1DB2" w:rsidP="00EF7957">
      <w:pPr>
        <w:pStyle w:val="B-Body"/>
        <w:ind w:left="0"/>
        <w:jc w:val="both"/>
      </w:pPr>
      <w:r>
        <w:t>Mobility simulations are performed to analyze handover performance and</w:t>
      </w:r>
      <w:r w:rsidR="00EF7957">
        <w:t xml:space="preserve"> to</w:t>
      </w:r>
      <w:r>
        <w:t xml:space="preserve"> </w:t>
      </w:r>
      <w:r w:rsidR="00EF7957">
        <w:t>compare</w:t>
      </w:r>
      <w:r>
        <w:t xml:space="preserve"> handover and link reliability between ground and airborne drone UEs. </w:t>
      </w:r>
    </w:p>
    <w:p w14:paraId="046F2BA6" w14:textId="56E96BE4" w:rsidR="00717125" w:rsidRDefault="00EE1DB2" w:rsidP="00EF7957">
      <w:pPr>
        <w:pStyle w:val="B-Body"/>
        <w:ind w:left="0"/>
        <w:jc w:val="both"/>
      </w:pPr>
      <w:r>
        <w:t xml:space="preserve">These simulations </w:t>
      </w:r>
      <w:r w:rsidR="00E545B2">
        <w:t>follow</w:t>
      </w:r>
      <w:r>
        <w:t xml:space="preserve"> the downlink and uplink simulation</w:t>
      </w:r>
      <w:r w:rsidR="00CE50BB">
        <w:t xml:space="preserve"> result</w:t>
      </w:r>
      <w:r>
        <w:t>s presented in</w:t>
      </w:r>
      <w:r w:rsidR="00CE50BB">
        <w:t xml:space="preserve"> [</w:t>
      </w:r>
      <w:r w:rsidR="004745CB">
        <w:t>3</w:t>
      </w:r>
      <w:r w:rsidR="00CE50BB">
        <w:t>],</w:t>
      </w:r>
      <w:r>
        <w:t xml:space="preserve"> </w:t>
      </w:r>
      <w:r w:rsidR="00CE50BB">
        <w:t xml:space="preserve">with the </w:t>
      </w:r>
      <w:r w:rsidR="000244C7">
        <w:t>addition</w:t>
      </w:r>
      <w:r w:rsidR="00CE50BB">
        <w:t xml:space="preserve"> of UE mobility being </w:t>
      </w:r>
      <w:r>
        <w:t xml:space="preserve">simulated. Each UE modeled starts at a randomly selected location in the network, and an angular bearing angle is selected randomly and uniformly. The UE then moves at the assigned speed in a straight line for the duration of the simulation. </w:t>
      </w:r>
    </w:p>
    <w:p w14:paraId="2C2E1E16" w14:textId="4472D556" w:rsidR="00EE1DB2" w:rsidRDefault="00EE1DB2" w:rsidP="00717125">
      <w:pPr>
        <w:pStyle w:val="B-Body"/>
        <w:ind w:left="0"/>
      </w:pPr>
      <w:r w:rsidRPr="00F16116">
        <w:rPr>
          <w:color w:val="000000" w:themeColor="text1"/>
        </w:rPr>
        <w:fldChar w:fldCharType="begin"/>
      </w:r>
      <w:r w:rsidRPr="00F16116">
        <w:rPr>
          <w:color w:val="000000" w:themeColor="text1"/>
        </w:rPr>
        <w:instrText xml:space="preserve"> REF _Ref473294315 \h \t \* \MERGEFORMAT </w:instrText>
      </w:r>
      <w:r w:rsidRPr="00F16116">
        <w:rPr>
          <w:color w:val="000000" w:themeColor="text1"/>
        </w:rPr>
      </w:r>
      <w:r w:rsidRPr="00F16116">
        <w:rPr>
          <w:color w:val="000000" w:themeColor="text1"/>
        </w:rPr>
        <w:fldChar w:fldCharType="separate"/>
      </w:r>
      <w:r w:rsidRPr="00F16116">
        <w:rPr>
          <w:color w:val="000000" w:themeColor="text1"/>
        </w:rPr>
        <w:t xml:space="preserve">Table </w:t>
      </w:r>
      <w:r w:rsidRPr="00F16116">
        <w:rPr>
          <w:noProof/>
          <w:color w:val="000000" w:themeColor="text1"/>
        </w:rPr>
        <w:t>1</w:t>
      </w:r>
      <w:r w:rsidRPr="00F16116">
        <w:rPr>
          <w:color w:val="000000" w:themeColor="text1"/>
        </w:rPr>
        <w:fldChar w:fldCharType="end"/>
      </w:r>
      <w:r>
        <w:t xml:space="preserve"> describes the parameters used to model the handover algorithm for these simulations.</w:t>
      </w:r>
    </w:p>
    <w:p w14:paraId="00450E75" w14:textId="6643F356" w:rsidR="00EE1DB2" w:rsidRDefault="00EE1DB2" w:rsidP="00F16116">
      <w:pPr>
        <w:pStyle w:val="T-TableTitle"/>
        <w:jc w:val="center"/>
      </w:pPr>
      <w:bookmarkStart w:id="2" w:name="_Ref473294315"/>
      <w:bookmarkStart w:id="3" w:name="_Toc473812168"/>
      <w:r>
        <w:lastRenderedPageBreak/>
        <w:t xml:space="preserve">Table </w:t>
      </w:r>
      <w:bookmarkEnd w:id="2"/>
      <w:r>
        <w:t>1 P</w:t>
      </w:r>
      <w:r w:rsidRPr="003A6C91">
        <w:t xml:space="preserve">arameters used </w:t>
      </w:r>
      <w:r>
        <w:t>to model the handover algorithm</w:t>
      </w:r>
      <w:bookmarkEnd w:id="3"/>
    </w:p>
    <w:tbl>
      <w:tblPr>
        <w:tblW w:w="8640" w:type="dxa"/>
        <w:tblInd w:w="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2523"/>
        <w:gridCol w:w="1081"/>
        <w:gridCol w:w="811"/>
        <w:gridCol w:w="4225"/>
      </w:tblGrid>
      <w:tr w:rsidR="00EE1DB2" w:rsidRPr="004F11B1" w14:paraId="0C88E615" w14:textId="77777777" w:rsidTr="00C418A6">
        <w:trPr>
          <w:cantSplit/>
          <w:tblHeader/>
        </w:trPr>
        <w:tc>
          <w:tcPr>
            <w:tcW w:w="2520" w:type="dxa"/>
            <w:tcBorders>
              <w:bottom w:val="single" w:sz="12" w:space="0" w:color="auto"/>
            </w:tcBorders>
            <w:shd w:val="clear" w:color="auto" w:fill="auto"/>
            <w:tcMar>
              <w:top w:w="72" w:type="dxa"/>
              <w:left w:w="144" w:type="dxa"/>
              <w:bottom w:w="72" w:type="dxa"/>
              <w:right w:w="144" w:type="dxa"/>
            </w:tcMar>
            <w:hideMark/>
          </w:tcPr>
          <w:p w14:paraId="74485785" w14:textId="77777777" w:rsidR="00EE1DB2" w:rsidRPr="004F11B1" w:rsidRDefault="00EE1DB2" w:rsidP="00C418A6">
            <w:pPr>
              <w:pStyle w:val="TH-TableHeading"/>
              <w:keepLines/>
            </w:pPr>
            <w:r w:rsidRPr="004F11B1">
              <w:t>Parameter</w:t>
            </w:r>
          </w:p>
        </w:tc>
        <w:tc>
          <w:tcPr>
            <w:tcW w:w="1080" w:type="dxa"/>
            <w:tcBorders>
              <w:bottom w:val="single" w:sz="12" w:space="0" w:color="auto"/>
            </w:tcBorders>
            <w:shd w:val="clear" w:color="auto" w:fill="auto"/>
            <w:tcMar>
              <w:top w:w="72" w:type="dxa"/>
              <w:left w:w="144" w:type="dxa"/>
              <w:bottom w:w="72" w:type="dxa"/>
              <w:right w:w="144" w:type="dxa"/>
            </w:tcMar>
            <w:hideMark/>
          </w:tcPr>
          <w:p w14:paraId="1652924A" w14:textId="77777777" w:rsidR="00EE1DB2" w:rsidRPr="004F11B1" w:rsidRDefault="00EE1DB2" w:rsidP="00C418A6">
            <w:pPr>
              <w:pStyle w:val="TH-TableHeading"/>
              <w:keepLines/>
            </w:pPr>
            <w:r w:rsidRPr="004F11B1">
              <w:t>Value</w:t>
            </w:r>
          </w:p>
        </w:tc>
        <w:tc>
          <w:tcPr>
            <w:tcW w:w="810" w:type="dxa"/>
            <w:tcBorders>
              <w:bottom w:val="single" w:sz="12" w:space="0" w:color="auto"/>
            </w:tcBorders>
            <w:shd w:val="clear" w:color="auto" w:fill="auto"/>
          </w:tcPr>
          <w:p w14:paraId="78C2E43D" w14:textId="77777777" w:rsidR="00EE1DB2" w:rsidRPr="004F11B1" w:rsidRDefault="00EE1DB2" w:rsidP="00C418A6">
            <w:pPr>
              <w:pStyle w:val="TH-TableHeading"/>
              <w:keepLines/>
            </w:pPr>
            <w:r w:rsidRPr="004F11B1">
              <w:t>Unit</w:t>
            </w:r>
          </w:p>
        </w:tc>
        <w:tc>
          <w:tcPr>
            <w:tcW w:w="4220" w:type="dxa"/>
            <w:tcBorders>
              <w:bottom w:val="single" w:sz="12" w:space="0" w:color="auto"/>
            </w:tcBorders>
            <w:shd w:val="clear" w:color="auto" w:fill="auto"/>
            <w:tcMar>
              <w:top w:w="72" w:type="dxa"/>
              <w:left w:w="144" w:type="dxa"/>
              <w:bottom w:w="72" w:type="dxa"/>
              <w:right w:w="144" w:type="dxa"/>
            </w:tcMar>
            <w:hideMark/>
          </w:tcPr>
          <w:p w14:paraId="67BB03AD" w14:textId="77777777" w:rsidR="00EE1DB2" w:rsidRPr="004F11B1" w:rsidRDefault="00EE1DB2" w:rsidP="00C418A6">
            <w:pPr>
              <w:pStyle w:val="TH-TableHeading"/>
              <w:keepLines/>
            </w:pPr>
            <w:r w:rsidRPr="004F11B1">
              <w:t>Description</w:t>
            </w:r>
          </w:p>
        </w:tc>
      </w:tr>
      <w:tr w:rsidR="00EE1DB2" w:rsidRPr="0032348F" w14:paraId="7382205A" w14:textId="77777777" w:rsidTr="00C418A6">
        <w:trPr>
          <w:cantSplit/>
        </w:trPr>
        <w:tc>
          <w:tcPr>
            <w:tcW w:w="2520" w:type="dxa"/>
            <w:tcBorders>
              <w:top w:val="single" w:sz="12" w:space="0" w:color="auto"/>
            </w:tcBorders>
            <w:shd w:val="clear" w:color="auto" w:fill="auto"/>
            <w:tcMar>
              <w:top w:w="72" w:type="dxa"/>
              <w:left w:w="144" w:type="dxa"/>
              <w:bottom w:w="72" w:type="dxa"/>
              <w:right w:w="144" w:type="dxa"/>
            </w:tcMar>
          </w:tcPr>
          <w:p w14:paraId="7AEF6C1F" w14:textId="77777777" w:rsidR="00EE1DB2" w:rsidRPr="0032348F" w:rsidRDefault="00EE1DB2" w:rsidP="00C418A6">
            <w:pPr>
              <w:pStyle w:val="TB-TableBody"/>
              <w:keepNext/>
              <w:keepLines/>
            </w:pPr>
            <w:proofErr w:type="spellStart"/>
            <w:r>
              <w:t>TimeToTrigger</w:t>
            </w:r>
            <w:proofErr w:type="spellEnd"/>
          </w:p>
        </w:tc>
        <w:tc>
          <w:tcPr>
            <w:tcW w:w="1080" w:type="dxa"/>
            <w:tcBorders>
              <w:top w:val="single" w:sz="12" w:space="0" w:color="auto"/>
            </w:tcBorders>
            <w:shd w:val="clear" w:color="auto" w:fill="auto"/>
            <w:tcMar>
              <w:top w:w="72" w:type="dxa"/>
              <w:left w:w="144" w:type="dxa"/>
              <w:bottom w:w="72" w:type="dxa"/>
              <w:right w:w="144" w:type="dxa"/>
            </w:tcMar>
          </w:tcPr>
          <w:p w14:paraId="4E13DFD1" w14:textId="77777777" w:rsidR="00EE1DB2" w:rsidRPr="0032348F" w:rsidRDefault="00EE1DB2" w:rsidP="00C418A6">
            <w:pPr>
              <w:pStyle w:val="TB-TableBody"/>
              <w:keepNext/>
              <w:keepLines/>
            </w:pPr>
            <w:r>
              <w:t xml:space="preserve">160 </w:t>
            </w:r>
          </w:p>
        </w:tc>
        <w:tc>
          <w:tcPr>
            <w:tcW w:w="810" w:type="dxa"/>
            <w:tcBorders>
              <w:top w:val="single" w:sz="12" w:space="0" w:color="auto"/>
            </w:tcBorders>
            <w:shd w:val="clear" w:color="auto" w:fill="auto"/>
          </w:tcPr>
          <w:p w14:paraId="6B7E26D2" w14:textId="77777777" w:rsidR="00EE1DB2" w:rsidRPr="0032348F" w:rsidRDefault="00EE1DB2" w:rsidP="00C418A6">
            <w:pPr>
              <w:pStyle w:val="TB-TableBody"/>
              <w:keepNext/>
              <w:keepLines/>
            </w:pPr>
            <w:proofErr w:type="spellStart"/>
            <w:r>
              <w:t>ms</w:t>
            </w:r>
            <w:proofErr w:type="spellEnd"/>
          </w:p>
        </w:tc>
        <w:tc>
          <w:tcPr>
            <w:tcW w:w="4220" w:type="dxa"/>
            <w:tcBorders>
              <w:top w:val="single" w:sz="12" w:space="0" w:color="auto"/>
            </w:tcBorders>
            <w:shd w:val="clear" w:color="auto" w:fill="auto"/>
            <w:tcMar>
              <w:top w:w="72" w:type="dxa"/>
              <w:left w:w="144" w:type="dxa"/>
              <w:bottom w:w="72" w:type="dxa"/>
              <w:right w:w="144" w:type="dxa"/>
            </w:tcMar>
          </w:tcPr>
          <w:p w14:paraId="61A43495" w14:textId="77777777" w:rsidR="00EE1DB2" w:rsidRPr="0032348F" w:rsidRDefault="00EE1DB2" w:rsidP="00C418A6">
            <w:pPr>
              <w:pStyle w:val="TB-TableBody"/>
              <w:keepNext/>
              <w:keepLines/>
            </w:pPr>
            <w:r w:rsidRPr="008321DA">
              <w:t>Time to trigger measurement repo</w:t>
            </w:r>
            <w:r>
              <w:t>rt</w:t>
            </w:r>
          </w:p>
        </w:tc>
      </w:tr>
      <w:tr w:rsidR="00EE1DB2" w:rsidRPr="0032348F" w14:paraId="53D39D0B" w14:textId="77777777" w:rsidTr="00C418A6">
        <w:trPr>
          <w:cantSplit/>
        </w:trPr>
        <w:tc>
          <w:tcPr>
            <w:tcW w:w="2520" w:type="dxa"/>
            <w:shd w:val="clear" w:color="auto" w:fill="auto"/>
            <w:tcMar>
              <w:top w:w="72" w:type="dxa"/>
              <w:left w:w="144" w:type="dxa"/>
              <w:bottom w:w="72" w:type="dxa"/>
              <w:right w:w="144" w:type="dxa"/>
            </w:tcMar>
          </w:tcPr>
          <w:p w14:paraId="62200FEF" w14:textId="77777777" w:rsidR="00EE1DB2" w:rsidRDefault="00EE1DB2" w:rsidP="00C418A6">
            <w:pPr>
              <w:pStyle w:val="TB-TableBody"/>
              <w:keepNext/>
              <w:keepLines/>
            </w:pPr>
            <w:r>
              <w:t>A3Offset</w:t>
            </w:r>
          </w:p>
        </w:tc>
        <w:tc>
          <w:tcPr>
            <w:tcW w:w="1080" w:type="dxa"/>
            <w:shd w:val="clear" w:color="auto" w:fill="auto"/>
            <w:tcMar>
              <w:top w:w="72" w:type="dxa"/>
              <w:left w:w="144" w:type="dxa"/>
              <w:bottom w:w="72" w:type="dxa"/>
              <w:right w:w="144" w:type="dxa"/>
            </w:tcMar>
          </w:tcPr>
          <w:p w14:paraId="03102BC1" w14:textId="77777777" w:rsidR="00EE1DB2" w:rsidRDefault="00EE1DB2" w:rsidP="00C418A6">
            <w:pPr>
              <w:pStyle w:val="TB-TableBody"/>
              <w:keepNext/>
              <w:keepLines/>
            </w:pPr>
            <w:r>
              <w:t>2.0</w:t>
            </w:r>
          </w:p>
        </w:tc>
        <w:tc>
          <w:tcPr>
            <w:tcW w:w="810" w:type="dxa"/>
            <w:shd w:val="clear" w:color="auto" w:fill="auto"/>
          </w:tcPr>
          <w:p w14:paraId="1E6B3C1E" w14:textId="77777777" w:rsidR="00EE1DB2" w:rsidRPr="0032348F" w:rsidRDefault="00EE1DB2" w:rsidP="00C418A6">
            <w:pPr>
              <w:pStyle w:val="TB-TableBody"/>
              <w:keepNext/>
              <w:keepLines/>
            </w:pPr>
            <w:r>
              <w:t>dB</w:t>
            </w:r>
          </w:p>
        </w:tc>
        <w:tc>
          <w:tcPr>
            <w:tcW w:w="4220" w:type="dxa"/>
            <w:shd w:val="clear" w:color="auto" w:fill="auto"/>
            <w:tcMar>
              <w:top w:w="72" w:type="dxa"/>
              <w:left w:w="144" w:type="dxa"/>
              <w:bottom w:w="72" w:type="dxa"/>
              <w:right w:w="144" w:type="dxa"/>
            </w:tcMar>
          </w:tcPr>
          <w:p w14:paraId="12EE1CCD" w14:textId="77777777" w:rsidR="00EE1DB2" w:rsidRPr="0032348F" w:rsidRDefault="00EE1DB2" w:rsidP="00C418A6">
            <w:pPr>
              <w:pStyle w:val="TB-TableBody"/>
              <w:keepNext/>
              <w:keepLines/>
            </w:pPr>
            <w:r w:rsidRPr="008321DA">
              <w:t>Offset between signal strength of serving and neighboring cells</w:t>
            </w:r>
            <w:r w:rsidRPr="008321DA">
              <w:tab/>
            </w:r>
          </w:p>
        </w:tc>
      </w:tr>
      <w:tr w:rsidR="00EE1DB2" w:rsidRPr="0032348F" w14:paraId="7F70447F" w14:textId="77777777" w:rsidTr="00C418A6">
        <w:trPr>
          <w:cantSplit/>
        </w:trPr>
        <w:tc>
          <w:tcPr>
            <w:tcW w:w="2520" w:type="dxa"/>
            <w:shd w:val="clear" w:color="auto" w:fill="auto"/>
            <w:tcMar>
              <w:top w:w="72" w:type="dxa"/>
              <w:left w:w="144" w:type="dxa"/>
              <w:bottom w:w="72" w:type="dxa"/>
              <w:right w:w="144" w:type="dxa"/>
            </w:tcMar>
          </w:tcPr>
          <w:p w14:paraId="783C8E27" w14:textId="77777777" w:rsidR="00EE1DB2" w:rsidRPr="0032348F" w:rsidRDefault="00EE1DB2" w:rsidP="00C418A6">
            <w:pPr>
              <w:pStyle w:val="TB-TableBody"/>
              <w:keepNext/>
              <w:keepLines/>
            </w:pPr>
            <w:proofErr w:type="spellStart"/>
            <w:r>
              <w:t>MeasurementInterval</w:t>
            </w:r>
            <w:proofErr w:type="spellEnd"/>
          </w:p>
        </w:tc>
        <w:tc>
          <w:tcPr>
            <w:tcW w:w="1080" w:type="dxa"/>
            <w:shd w:val="clear" w:color="auto" w:fill="auto"/>
            <w:tcMar>
              <w:top w:w="72" w:type="dxa"/>
              <w:left w:w="144" w:type="dxa"/>
              <w:bottom w:w="72" w:type="dxa"/>
              <w:right w:w="144" w:type="dxa"/>
            </w:tcMar>
          </w:tcPr>
          <w:p w14:paraId="4626623B" w14:textId="77777777" w:rsidR="00EE1DB2" w:rsidRPr="0032348F" w:rsidRDefault="00EE1DB2" w:rsidP="00C418A6">
            <w:pPr>
              <w:pStyle w:val="TB-TableBody"/>
              <w:keepNext/>
              <w:keepLines/>
            </w:pPr>
            <w:r>
              <w:t>40</w:t>
            </w:r>
          </w:p>
        </w:tc>
        <w:tc>
          <w:tcPr>
            <w:tcW w:w="810" w:type="dxa"/>
            <w:shd w:val="clear" w:color="auto" w:fill="auto"/>
          </w:tcPr>
          <w:p w14:paraId="49935936" w14:textId="77777777" w:rsidR="00EE1DB2" w:rsidRPr="0032348F" w:rsidRDefault="00EE1DB2" w:rsidP="00C418A6">
            <w:pPr>
              <w:pStyle w:val="TB-TableBody"/>
              <w:keepNext/>
              <w:keepLines/>
            </w:pPr>
            <w:proofErr w:type="spellStart"/>
            <w:r>
              <w:t>ms</w:t>
            </w:r>
            <w:proofErr w:type="spellEnd"/>
          </w:p>
        </w:tc>
        <w:tc>
          <w:tcPr>
            <w:tcW w:w="4220" w:type="dxa"/>
            <w:shd w:val="clear" w:color="auto" w:fill="auto"/>
            <w:tcMar>
              <w:top w:w="72" w:type="dxa"/>
              <w:left w:w="144" w:type="dxa"/>
              <w:bottom w:w="72" w:type="dxa"/>
              <w:right w:w="144" w:type="dxa"/>
            </w:tcMar>
          </w:tcPr>
          <w:p w14:paraId="34D2360C" w14:textId="77777777" w:rsidR="00EE1DB2" w:rsidRPr="0032348F" w:rsidRDefault="00EE1DB2" w:rsidP="00C418A6">
            <w:pPr>
              <w:pStyle w:val="TB-TableBody"/>
              <w:keepNext/>
              <w:keepLines/>
            </w:pPr>
            <w:r w:rsidRPr="008321DA">
              <w:t>Physical layer measurement interval</w:t>
            </w:r>
          </w:p>
        </w:tc>
      </w:tr>
      <w:tr w:rsidR="00EE1DB2" w:rsidRPr="0032348F" w14:paraId="403C3840" w14:textId="77777777" w:rsidTr="00C418A6">
        <w:trPr>
          <w:cantSplit/>
        </w:trPr>
        <w:tc>
          <w:tcPr>
            <w:tcW w:w="2520" w:type="dxa"/>
            <w:shd w:val="clear" w:color="auto" w:fill="auto"/>
            <w:tcMar>
              <w:top w:w="72" w:type="dxa"/>
              <w:left w:w="144" w:type="dxa"/>
              <w:bottom w:w="72" w:type="dxa"/>
              <w:right w:w="144" w:type="dxa"/>
            </w:tcMar>
          </w:tcPr>
          <w:p w14:paraId="1100A9AF" w14:textId="77777777" w:rsidR="00EE1DB2" w:rsidRPr="0032348F" w:rsidRDefault="00EE1DB2" w:rsidP="00C418A6">
            <w:pPr>
              <w:pStyle w:val="TB-TableBody"/>
              <w:keepNext/>
              <w:keepLines/>
            </w:pPr>
            <w:proofErr w:type="spellStart"/>
            <w:r>
              <w:t>SamplesToAverage</w:t>
            </w:r>
            <w:proofErr w:type="spellEnd"/>
          </w:p>
        </w:tc>
        <w:tc>
          <w:tcPr>
            <w:tcW w:w="1080" w:type="dxa"/>
            <w:shd w:val="clear" w:color="auto" w:fill="auto"/>
            <w:tcMar>
              <w:top w:w="72" w:type="dxa"/>
              <w:left w:w="144" w:type="dxa"/>
              <w:bottom w:w="72" w:type="dxa"/>
              <w:right w:w="144" w:type="dxa"/>
            </w:tcMar>
          </w:tcPr>
          <w:p w14:paraId="617A67A1" w14:textId="77777777" w:rsidR="00EE1DB2" w:rsidRPr="0032348F" w:rsidRDefault="00EE1DB2" w:rsidP="00C418A6">
            <w:pPr>
              <w:pStyle w:val="TB-TableBody"/>
              <w:keepNext/>
              <w:keepLines/>
            </w:pPr>
            <w:r>
              <w:t>5</w:t>
            </w:r>
          </w:p>
        </w:tc>
        <w:tc>
          <w:tcPr>
            <w:tcW w:w="810" w:type="dxa"/>
            <w:shd w:val="clear" w:color="auto" w:fill="auto"/>
          </w:tcPr>
          <w:p w14:paraId="2FE66926" w14:textId="77777777" w:rsidR="00EE1DB2" w:rsidRPr="0032348F" w:rsidRDefault="00EE1DB2" w:rsidP="00C418A6">
            <w:pPr>
              <w:pStyle w:val="TB-TableBody"/>
              <w:keepNext/>
              <w:keepLines/>
            </w:pPr>
          </w:p>
        </w:tc>
        <w:tc>
          <w:tcPr>
            <w:tcW w:w="4220" w:type="dxa"/>
            <w:shd w:val="clear" w:color="auto" w:fill="auto"/>
            <w:tcMar>
              <w:top w:w="72" w:type="dxa"/>
              <w:left w:w="144" w:type="dxa"/>
              <w:bottom w:w="72" w:type="dxa"/>
              <w:right w:w="144" w:type="dxa"/>
            </w:tcMar>
          </w:tcPr>
          <w:p w14:paraId="355CB298" w14:textId="77777777" w:rsidR="00EE1DB2" w:rsidRPr="0032348F" w:rsidRDefault="00EE1DB2" w:rsidP="00C418A6">
            <w:pPr>
              <w:pStyle w:val="TB-TableBody"/>
              <w:keepNext/>
              <w:keepLines/>
            </w:pPr>
            <w:r w:rsidRPr="008321DA">
              <w:t>Number of physical layer measurements averaged</w:t>
            </w:r>
          </w:p>
        </w:tc>
      </w:tr>
      <w:tr w:rsidR="00EE1DB2" w:rsidRPr="0032348F" w14:paraId="733DBC3E" w14:textId="77777777" w:rsidTr="00C418A6">
        <w:trPr>
          <w:cantSplit/>
        </w:trPr>
        <w:tc>
          <w:tcPr>
            <w:tcW w:w="2520" w:type="dxa"/>
            <w:shd w:val="clear" w:color="auto" w:fill="auto"/>
            <w:tcMar>
              <w:top w:w="72" w:type="dxa"/>
              <w:left w:w="144" w:type="dxa"/>
              <w:bottom w:w="72" w:type="dxa"/>
              <w:right w:w="144" w:type="dxa"/>
            </w:tcMar>
          </w:tcPr>
          <w:p w14:paraId="6146D095" w14:textId="77777777" w:rsidR="00EE1DB2" w:rsidRPr="0032348F" w:rsidRDefault="00EE1DB2" w:rsidP="00C418A6">
            <w:pPr>
              <w:pStyle w:val="TB-TableBody"/>
              <w:keepNext/>
              <w:keepLines/>
            </w:pPr>
            <w:r>
              <w:t>L3RRMCoefficient</w:t>
            </w:r>
          </w:p>
        </w:tc>
        <w:tc>
          <w:tcPr>
            <w:tcW w:w="1080" w:type="dxa"/>
            <w:shd w:val="clear" w:color="auto" w:fill="auto"/>
            <w:tcMar>
              <w:top w:w="72" w:type="dxa"/>
              <w:left w:w="144" w:type="dxa"/>
              <w:bottom w:w="72" w:type="dxa"/>
              <w:right w:w="144" w:type="dxa"/>
            </w:tcMar>
          </w:tcPr>
          <w:p w14:paraId="74BCBC18" w14:textId="77777777" w:rsidR="00EE1DB2" w:rsidRPr="0032348F" w:rsidRDefault="00EE1DB2" w:rsidP="00C418A6">
            <w:pPr>
              <w:pStyle w:val="TB-TableBody"/>
              <w:keepNext/>
              <w:keepLines/>
            </w:pPr>
            <w:r>
              <w:t>1</w:t>
            </w:r>
          </w:p>
        </w:tc>
        <w:tc>
          <w:tcPr>
            <w:tcW w:w="810" w:type="dxa"/>
            <w:shd w:val="clear" w:color="auto" w:fill="auto"/>
          </w:tcPr>
          <w:p w14:paraId="0788C801" w14:textId="77777777" w:rsidR="00EE1DB2" w:rsidRPr="0032348F" w:rsidRDefault="00EE1DB2" w:rsidP="00C418A6">
            <w:pPr>
              <w:pStyle w:val="TB-TableBody"/>
              <w:keepNext/>
              <w:keepLines/>
            </w:pPr>
          </w:p>
        </w:tc>
        <w:tc>
          <w:tcPr>
            <w:tcW w:w="4220" w:type="dxa"/>
            <w:shd w:val="clear" w:color="auto" w:fill="auto"/>
            <w:tcMar>
              <w:top w:w="72" w:type="dxa"/>
              <w:left w:w="144" w:type="dxa"/>
              <w:bottom w:w="72" w:type="dxa"/>
              <w:right w:w="144" w:type="dxa"/>
            </w:tcMar>
          </w:tcPr>
          <w:p w14:paraId="256D7567" w14:textId="77777777" w:rsidR="00EE1DB2" w:rsidRPr="0032348F" w:rsidRDefault="00EE1DB2" w:rsidP="00C418A6">
            <w:pPr>
              <w:pStyle w:val="TB-TableBody"/>
              <w:keepNext/>
              <w:keepLines/>
            </w:pPr>
            <w:r w:rsidRPr="008321DA">
              <w:t xml:space="preserve">Filtering coefficient for </w:t>
            </w:r>
            <w:r>
              <w:t>l</w:t>
            </w:r>
            <w:r w:rsidRPr="008321DA">
              <w:t>ayer 3 measurements</w:t>
            </w:r>
          </w:p>
        </w:tc>
      </w:tr>
      <w:tr w:rsidR="00EE1DB2" w:rsidRPr="0032348F" w14:paraId="498E1CCE" w14:textId="77777777" w:rsidTr="00C418A6">
        <w:trPr>
          <w:cantSplit/>
        </w:trPr>
        <w:tc>
          <w:tcPr>
            <w:tcW w:w="2520" w:type="dxa"/>
            <w:shd w:val="clear" w:color="auto" w:fill="auto"/>
            <w:tcMar>
              <w:top w:w="72" w:type="dxa"/>
              <w:left w:w="144" w:type="dxa"/>
              <w:bottom w:w="72" w:type="dxa"/>
              <w:right w:w="144" w:type="dxa"/>
            </w:tcMar>
          </w:tcPr>
          <w:p w14:paraId="226B8FD6" w14:textId="77777777" w:rsidR="00EE1DB2" w:rsidRPr="0032348F" w:rsidRDefault="00EE1DB2" w:rsidP="00C418A6">
            <w:pPr>
              <w:pStyle w:val="TB-TableBody"/>
              <w:keepNext/>
              <w:keepLines/>
            </w:pPr>
            <w:proofErr w:type="spellStart"/>
            <w:r>
              <w:t>RMLInterval</w:t>
            </w:r>
            <w:proofErr w:type="spellEnd"/>
          </w:p>
        </w:tc>
        <w:tc>
          <w:tcPr>
            <w:tcW w:w="1080" w:type="dxa"/>
            <w:shd w:val="clear" w:color="auto" w:fill="auto"/>
            <w:tcMar>
              <w:top w:w="72" w:type="dxa"/>
              <w:left w:w="144" w:type="dxa"/>
              <w:bottom w:w="72" w:type="dxa"/>
              <w:right w:w="144" w:type="dxa"/>
            </w:tcMar>
          </w:tcPr>
          <w:p w14:paraId="1379BB38" w14:textId="77777777" w:rsidR="00EE1DB2" w:rsidRPr="0032348F" w:rsidRDefault="00EE1DB2" w:rsidP="00C418A6">
            <w:pPr>
              <w:pStyle w:val="TB-TableBody"/>
              <w:keepNext/>
              <w:keepLines/>
            </w:pPr>
            <w:r>
              <w:t>2</w:t>
            </w:r>
          </w:p>
        </w:tc>
        <w:tc>
          <w:tcPr>
            <w:tcW w:w="810" w:type="dxa"/>
            <w:shd w:val="clear" w:color="auto" w:fill="auto"/>
          </w:tcPr>
          <w:p w14:paraId="401008D8" w14:textId="77777777" w:rsidR="00EE1DB2" w:rsidRPr="0032348F" w:rsidRDefault="00EE1DB2" w:rsidP="00C418A6">
            <w:pPr>
              <w:pStyle w:val="TB-TableBody"/>
              <w:keepNext/>
              <w:keepLines/>
            </w:pPr>
            <w:r>
              <w:t>s</w:t>
            </w:r>
          </w:p>
        </w:tc>
        <w:tc>
          <w:tcPr>
            <w:tcW w:w="4220" w:type="dxa"/>
            <w:shd w:val="clear" w:color="auto" w:fill="auto"/>
            <w:tcMar>
              <w:top w:w="72" w:type="dxa"/>
              <w:left w:w="144" w:type="dxa"/>
              <w:bottom w:w="72" w:type="dxa"/>
              <w:right w:w="144" w:type="dxa"/>
            </w:tcMar>
          </w:tcPr>
          <w:p w14:paraId="42301478" w14:textId="77777777" w:rsidR="00EE1DB2" w:rsidRPr="0032348F" w:rsidRDefault="00EE1DB2" w:rsidP="00C418A6">
            <w:pPr>
              <w:pStyle w:val="TB-TableBody"/>
              <w:keepNext/>
              <w:keepLines/>
            </w:pPr>
            <w:r w:rsidRPr="008321DA">
              <w:t>Radio link monitoring interval</w:t>
            </w:r>
            <w:r w:rsidRPr="008321DA">
              <w:tab/>
            </w:r>
          </w:p>
        </w:tc>
      </w:tr>
      <w:tr w:rsidR="00EE1DB2" w:rsidRPr="0032348F" w14:paraId="5F8F9B56" w14:textId="77777777" w:rsidTr="00C418A6">
        <w:trPr>
          <w:cantSplit/>
        </w:trPr>
        <w:tc>
          <w:tcPr>
            <w:tcW w:w="2520" w:type="dxa"/>
            <w:shd w:val="clear" w:color="auto" w:fill="auto"/>
            <w:tcMar>
              <w:top w:w="72" w:type="dxa"/>
              <w:left w:w="144" w:type="dxa"/>
              <w:bottom w:w="72" w:type="dxa"/>
              <w:right w:w="144" w:type="dxa"/>
            </w:tcMar>
          </w:tcPr>
          <w:p w14:paraId="6BF3E32D" w14:textId="77777777" w:rsidR="00EE1DB2" w:rsidRPr="0032348F" w:rsidRDefault="00EE1DB2" w:rsidP="00C418A6">
            <w:pPr>
              <w:pStyle w:val="TB-TableBody"/>
              <w:keepNext/>
              <w:keepLines/>
            </w:pPr>
            <w:r>
              <w:t>T310</w:t>
            </w:r>
          </w:p>
        </w:tc>
        <w:tc>
          <w:tcPr>
            <w:tcW w:w="1080" w:type="dxa"/>
            <w:shd w:val="clear" w:color="auto" w:fill="auto"/>
            <w:tcMar>
              <w:top w:w="72" w:type="dxa"/>
              <w:left w:w="144" w:type="dxa"/>
              <w:bottom w:w="72" w:type="dxa"/>
              <w:right w:w="144" w:type="dxa"/>
            </w:tcMar>
          </w:tcPr>
          <w:p w14:paraId="065F151C" w14:textId="77777777" w:rsidR="00EE1DB2" w:rsidRPr="0032348F" w:rsidRDefault="00EE1DB2" w:rsidP="00C418A6">
            <w:pPr>
              <w:pStyle w:val="TB-TableBody"/>
              <w:keepNext/>
              <w:keepLines/>
            </w:pPr>
            <w:r>
              <w:t>1000</w:t>
            </w:r>
          </w:p>
        </w:tc>
        <w:tc>
          <w:tcPr>
            <w:tcW w:w="810" w:type="dxa"/>
            <w:shd w:val="clear" w:color="auto" w:fill="auto"/>
          </w:tcPr>
          <w:p w14:paraId="08B98C0C" w14:textId="77777777" w:rsidR="00EE1DB2" w:rsidRPr="0032348F" w:rsidRDefault="00EE1DB2" w:rsidP="00C418A6">
            <w:pPr>
              <w:pStyle w:val="TB-TableBody"/>
              <w:keepNext/>
              <w:keepLines/>
            </w:pPr>
            <w:proofErr w:type="spellStart"/>
            <w:r>
              <w:t>ms</w:t>
            </w:r>
            <w:proofErr w:type="spellEnd"/>
          </w:p>
        </w:tc>
        <w:tc>
          <w:tcPr>
            <w:tcW w:w="4220" w:type="dxa"/>
            <w:shd w:val="clear" w:color="auto" w:fill="auto"/>
            <w:tcMar>
              <w:top w:w="72" w:type="dxa"/>
              <w:left w:w="144" w:type="dxa"/>
              <w:bottom w:w="72" w:type="dxa"/>
              <w:right w:w="144" w:type="dxa"/>
            </w:tcMar>
          </w:tcPr>
          <w:p w14:paraId="513E56AA" w14:textId="77777777" w:rsidR="00EE1DB2" w:rsidRPr="0032348F" w:rsidRDefault="00EE1DB2" w:rsidP="00C418A6">
            <w:pPr>
              <w:pStyle w:val="TB-TableBody"/>
              <w:keepNext/>
              <w:keepLines/>
            </w:pPr>
            <w:r w:rsidRPr="008321DA">
              <w:t>Timer to trigger radio link failure recovery</w:t>
            </w:r>
          </w:p>
        </w:tc>
      </w:tr>
      <w:tr w:rsidR="00EE1DB2" w:rsidRPr="0032348F" w14:paraId="5723D53A" w14:textId="77777777" w:rsidTr="00C418A6">
        <w:trPr>
          <w:cantSplit/>
        </w:trPr>
        <w:tc>
          <w:tcPr>
            <w:tcW w:w="2520" w:type="dxa"/>
            <w:shd w:val="clear" w:color="auto" w:fill="auto"/>
            <w:tcMar>
              <w:top w:w="72" w:type="dxa"/>
              <w:left w:w="144" w:type="dxa"/>
              <w:bottom w:w="72" w:type="dxa"/>
              <w:right w:w="144" w:type="dxa"/>
            </w:tcMar>
          </w:tcPr>
          <w:p w14:paraId="23471B72" w14:textId="77777777" w:rsidR="00EE1DB2" w:rsidRPr="0032348F" w:rsidRDefault="00EE1DB2" w:rsidP="00C418A6">
            <w:pPr>
              <w:pStyle w:val="TB-TableBody"/>
              <w:keepNext/>
              <w:keepLines/>
            </w:pPr>
            <w:proofErr w:type="spellStart"/>
            <w:r>
              <w:t>HOPreparationDelay</w:t>
            </w:r>
            <w:proofErr w:type="spellEnd"/>
          </w:p>
        </w:tc>
        <w:tc>
          <w:tcPr>
            <w:tcW w:w="1080" w:type="dxa"/>
            <w:shd w:val="clear" w:color="auto" w:fill="auto"/>
            <w:tcMar>
              <w:top w:w="72" w:type="dxa"/>
              <w:left w:w="144" w:type="dxa"/>
              <w:bottom w:w="72" w:type="dxa"/>
              <w:right w:w="144" w:type="dxa"/>
            </w:tcMar>
          </w:tcPr>
          <w:p w14:paraId="79F498C9" w14:textId="77777777" w:rsidR="00EE1DB2" w:rsidRPr="0032348F" w:rsidRDefault="00EE1DB2" w:rsidP="00C418A6">
            <w:pPr>
              <w:pStyle w:val="TB-TableBody"/>
              <w:keepNext/>
              <w:keepLines/>
            </w:pPr>
            <w:r>
              <w:t>50</w:t>
            </w:r>
          </w:p>
        </w:tc>
        <w:tc>
          <w:tcPr>
            <w:tcW w:w="810" w:type="dxa"/>
            <w:shd w:val="clear" w:color="auto" w:fill="auto"/>
          </w:tcPr>
          <w:p w14:paraId="379655F3" w14:textId="77777777" w:rsidR="00EE1DB2" w:rsidRPr="0032348F" w:rsidRDefault="00EE1DB2" w:rsidP="00C418A6">
            <w:pPr>
              <w:pStyle w:val="TB-TableBody"/>
              <w:keepNext/>
              <w:keepLines/>
            </w:pPr>
            <w:proofErr w:type="spellStart"/>
            <w:r>
              <w:t>ms</w:t>
            </w:r>
            <w:proofErr w:type="spellEnd"/>
          </w:p>
        </w:tc>
        <w:tc>
          <w:tcPr>
            <w:tcW w:w="4220" w:type="dxa"/>
            <w:shd w:val="clear" w:color="auto" w:fill="auto"/>
            <w:tcMar>
              <w:top w:w="72" w:type="dxa"/>
              <w:left w:w="144" w:type="dxa"/>
              <w:bottom w:w="72" w:type="dxa"/>
              <w:right w:w="144" w:type="dxa"/>
            </w:tcMar>
          </w:tcPr>
          <w:p w14:paraId="1D6C19BB" w14:textId="77777777" w:rsidR="00EE1DB2" w:rsidRPr="0032348F" w:rsidRDefault="00EE1DB2" w:rsidP="00C418A6">
            <w:pPr>
              <w:pStyle w:val="TB-TableBody"/>
              <w:keepNext/>
              <w:keepLines/>
            </w:pPr>
            <w:r w:rsidRPr="008321DA">
              <w:t>Handover preparation delay</w:t>
            </w:r>
          </w:p>
        </w:tc>
      </w:tr>
      <w:tr w:rsidR="00EE1DB2" w:rsidRPr="0032348F" w14:paraId="05D1D093" w14:textId="77777777" w:rsidTr="00C418A6">
        <w:trPr>
          <w:cantSplit/>
        </w:trPr>
        <w:tc>
          <w:tcPr>
            <w:tcW w:w="2520" w:type="dxa"/>
            <w:shd w:val="clear" w:color="auto" w:fill="auto"/>
            <w:tcMar>
              <w:top w:w="72" w:type="dxa"/>
              <w:left w:w="144" w:type="dxa"/>
              <w:bottom w:w="72" w:type="dxa"/>
              <w:right w:w="144" w:type="dxa"/>
            </w:tcMar>
          </w:tcPr>
          <w:p w14:paraId="14B7F80D" w14:textId="77777777" w:rsidR="00EE1DB2" w:rsidRPr="0032348F" w:rsidRDefault="00EE1DB2" w:rsidP="00C418A6">
            <w:pPr>
              <w:pStyle w:val="TB-TableBody"/>
              <w:keepNext/>
              <w:keepLines/>
            </w:pPr>
            <w:proofErr w:type="spellStart"/>
            <w:r>
              <w:t>HOExecutionDelay</w:t>
            </w:r>
            <w:proofErr w:type="spellEnd"/>
          </w:p>
        </w:tc>
        <w:tc>
          <w:tcPr>
            <w:tcW w:w="1080" w:type="dxa"/>
            <w:shd w:val="clear" w:color="auto" w:fill="auto"/>
            <w:tcMar>
              <w:top w:w="72" w:type="dxa"/>
              <w:left w:w="144" w:type="dxa"/>
              <w:bottom w:w="72" w:type="dxa"/>
              <w:right w:w="144" w:type="dxa"/>
            </w:tcMar>
          </w:tcPr>
          <w:p w14:paraId="70B3C65D" w14:textId="77777777" w:rsidR="00EE1DB2" w:rsidRPr="0032348F" w:rsidRDefault="00EE1DB2" w:rsidP="00C418A6">
            <w:pPr>
              <w:pStyle w:val="TB-TableBody"/>
              <w:keepNext/>
              <w:keepLines/>
            </w:pPr>
            <w:r>
              <w:t>40</w:t>
            </w:r>
          </w:p>
        </w:tc>
        <w:tc>
          <w:tcPr>
            <w:tcW w:w="810" w:type="dxa"/>
            <w:shd w:val="clear" w:color="auto" w:fill="auto"/>
          </w:tcPr>
          <w:p w14:paraId="3BCDCE1A" w14:textId="77777777" w:rsidR="00EE1DB2" w:rsidRPr="0032348F" w:rsidRDefault="00EE1DB2" w:rsidP="00C418A6">
            <w:pPr>
              <w:pStyle w:val="TB-TableBody"/>
              <w:keepNext/>
              <w:keepLines/>
            </w:pPr>
            <w:proofErr w:type="spellStart"/>
            <w:r>
              <w:t>ms</w:t>
            </w:r>
            <w:proofErr w:type="spellEnd"/>
          </w:p>
        </w:tc>
        <w:tc>
          <w:tcPr>
            <w:tcW w:w="4220" w:type="dxa"/>
            <w:shd w:val="clear" w:color="auto" w:fill="auto"/>
            <w:tcMar>
              <w:top w:w="72" w:type="dxa"/>
              <w:left w:w="144" w:type="dxa"/>
              <w:bottom w:w="72" w:type="dxa"/>
              <w:right w:w="144" w:type="dxa"/>
            </w:tcMar>
          </w:tcPr>
          <w:p w14:paraId="6168A013" w14:textId="77777777" w:rsidR="00EE1DB2" w:rsidRPr="0032348F" w:rsidRDefault="00EE1DB2" w:rsidP="00C418A6">
            <w:pPr>
              <w:pStyle w:val="TB-TableBody"/>
              <w:keepNext/>
              <w:keepLines/>
            </w:pPr>
            <w:r w:rsidRPr="008321DA">
              <w:t>Handover execution delay</w:t>
            </w:r>
            <w:r w:rsidRPr="008321DA">
              <w:tab/>
            </w:r>
          </w:p>
        </w:tc>
      </w:tr>
      <w:tr w:rsidR="00EE1DB2" w:rsidRPr="0032348F" w14:paraId="1EEE029E" w14:textId="77777777" w:rsidTr="00C418A6">
        <w:trPr>
          <w:cantSplit/>
        </w:trPr>
        <w:tc>
          <w:tcPr>
            <w:tcW w:w="2520" w:type="dxa"/>
            <w:shd w:val="clear" w:color="auto" w:fill="auto"/>
            <w:tcMar>
              <w:top w:w="72" w:type="dxa"/>
              <w:left w:w="144" w:type="dxa"/>
              <w:bottom w:w="72" w:type="dxa"/>
              <w:right w:w="144" w:type="dxa"/>
            </w:tcMar>
          </w:tcPr>
          <w:p w14:paraId="5D3B3872" w14:textId="77777777" w:rsidR="00EE1DB2" w:rsidRDefault="00EE1DB2" w:rsidP="00C418A6">
            <w:pPr>
              <w:pStyle w:val="TB-TableBody"/>
              <w:keepNext/>
              <w:keepLines/>
            </w:pPr>
            <w:proofErr w:type="spellStart"/>
            <w:r>
              <w:t>RSRPError</w:t>
            </w:r>
            <w:proofErr w:type="spellEnd"/>
          </w:p>
        </w:tc>
        <w:tc>
          <w:tcPr>
            <w:tcW w:w="1080" w:type="dxa"/>
            <w:shd w:val="clear" w:color="auto" w:fill="auto"/>
            <w:tcMar>
              <w:top w:w="72" w:type="dxa"/>
              <w:left w:w="144" w:type="dxa"/>
              <w:bottom w:w="72" w:type="dxa"/>
              <w:right w:w="144" w:type="dxa"/>
            </w:tcMar>
          </w:tcPr>
          <w:p w14:paraId="43F14B39" w14:textId="77777777" w:rsidR="00EE1DB2" w:rsidRDefault="00EE1DB2" w:rsidP="00C418A6">
            <w:pPr>
              <w:pStyle w:val="TB-TableBody"/>
              <w:keepNext/>
              <w:keepLines/>
            </w:pPr>
            <w:r>
              <w:t>1.22</w:t>
            </w:r>
          </w:p>
        </w:tc>
        <w:tc>
          <w:tcPr>
            <w:tcW w:w="810" w:type="dxa"/>
            <w:shd w:val="clear" w:color="auto" w:fill="auto"/>
          </w:tcPr>
          <w:p w14:paraId="1ADFB36F" w14:textId="77777777" w:rsidR="00EE1DB2" w:rsidRPr="0032348F" w:rsidRDefault="00EE1DB2" w:rsidP="00C418A6">
            <w:pPr>
              <w:pStyle w:val="TB-TableBody"/>
              <w:keepNext/>
              <w:keepLines/>
            </w:pPr>
            <w:r>
              <w:t>dB</w:t>
            </w:r>
          </w:p>
        </w:tc>
        <w:tc>
          <w:tcPr>
            <w:tcW w:w="4220" w:type="dxa"/>
            <w:shd w:val="clear" w:color="auto" w:fill="auto"/>
            <w:tcMar>
              <w:top w:w="72" w:type="dxa"/>
              <w:left w:w="144" w:type="dxa"/>
              <w:bottom w:w="72" w:type="dxa"/>
              <w:right w:w="144" w:type="dxa"/>
            </w:tcMar>
          </w:tcPr>
          <w:p w14:paraId="12F3681E" w14:textId="77777777" w:rsidR="00EE1DB2" w:rsidRPr="0032348F" w:rsidRDefault="00EE1DB2" w:rsidP="00C418A6">
            <w:pPr>
              <w:pStyle w:val="TB-TableBody"/>
              <w:keepNext/>
              <w:keepLines/>
            </w:pPr>
            <w:r w:rsidRPr="008321DA">
              <w:t>Standard deviation of RSRP measurement erro</w:t>
            </w:r>
            <w:r>
              <w:t>r</w:t>
            </w:r>
          </w:p>
        </w:tc>
      </w:tr>
    </w:tbl>
    <w:p w14:paraId="6AA6535A" w14:textId="77777777" w:rsidR="00EE1DB2" w:rsidRDefault="00EE1DB2" w:rsidP="006F51AA">
      <w:pPr>
        <w:jc w:val="both"/>
      </w:pPr>
    </w:p>
    <w:p w14:paraId="51DEC7B2" w14:textId="71D7AEBB" w:rsidR="00EE1DB2" w:rsidRPr="00FE4049" w:rsidRDefault="00EE1DB2" w:rsidP="006F51AA">
      <w:pPr>
        <w:jc w:val="both"/>
      </w:pPr>
      <w:r>
        <w:t>The mobility simulations populate the network with 7 UEs per cell, on average. Simulations are performed with all UEs at ground, 50 m and 120 m altitude. Each of these are simulated with UE speeds of 0, 1.5, 3.0, 30, 60 and 120 km/h to gain an understanding of the handover performance dependency on speed.</w:t>
      </w:r>
    </w:p>
    <w:p w14:paraId="4C2B818E" w14:textId="3BC70189" w:rsidR="00EE1DB2" w:rsidRPr="00F16116" w:rsidRDefault="00EE1DB2" w:rsidP="00EE1DB2">
      <w:pPr>
        <w:pStyle w:val="Heading2"/>
        <w:rPr>
          <w:i w:val="0"/>
        </w:rPr>
      </w:pPr>
      <w:bookmarkStart w:id="4" w:name="_Ref473540067"/>
      <w:bookmarkStart w:id="5" w:name="_Toc473812100"/>
      <w:r w:rsidRPr="00F16116">
        <w:rPr>
          <w:bCs w:val="0"/>
          <w:i w:val="0"/>
          <w:iCs w:val="0"/>
        </w:rPr>
        <w:t>2.</w:t>
      </w:r>
      <w:r w:rsidRPr="00F16116">
        <w:rPr>
          <w:i w:val="0"/>
        </w:rPr>
        <w:t>1. Analysis of results</w:t>
      </w:r>
      <w:bookmarkEnd w:id="4"/>
      <w:bookmarkEnd w:id="5"/>
    </w:p>
    <w:p w14:paraId="3C15F390" w14:textId="1A0A278C" w:rsidR="00EE1DB2" w:rsidRDefault="00EE1DB2" w:rsidP="00EF7957">
      <w:pPr>
        <w:pStyle w:val="B-Body"/>
        <w:ind w:left="0"/>
        <w:jc w:val="both"/>
      </w:pPr>
      <w:r>
        <w:t>In this section</w:t>
      </w:r>
      <w:r w:rsidR="00FE4049">
        <w:t>,</w:t>
      </w:r>
      <w:r>
        <w:t xml:space="preserve"> we evaluate the results of the handover (HO) simulations using six performance dimensions tabulated in </w:t>
      </w:r>
      <w:r w:rsidRPr="00F16116">
        <w:rPr>
          <w:color w:val="000000" w:themeColor="text1"/>
        </w:rPr>
        <w:fldChar w:fldCharType="begin"/>
      </w:r>
      <w:r w:rsidRPr="00F16116">
        <w:rPr>
          <w:color w:val="000000" w:themeColor="text1"/>
        </w:rPr>
        <w:instrText xml:space="preserve"> REF _Ref473300243 \h \t \* \MERGEFORMAT </w:instrText>
      </w:r>
      <w:r w:rsidRPr="00F16116">
        <w:rPr>
          <w:color w:val="000000" w:themeColor="text1"/>
        </w:rPr>
      </w:r>
      <w:r w:rsidRPr="00F16116">
        <w:rPr>
          <w:color w:val="000000" w:themeColor="text1"/>
        </w:rPr>
        <w:fldChar w:fldCharType="separate"/>
      </w:r>
      <w:r w:rsidRPr="00F16116">
        <w:rPr>
          <w:color w:val="000000" w:themeColor="text1"/>
        </w:rPr>
        <w:t xml:space="preserve">Table </w:t>
      </w:r>
      <w:r w:rsidR="003921D5" w:rsidRPr="00F16116">
        <w:rPr>
          <w:noProof/>
          <w:color w:val="000000" w:themeColor="text1"/>
        </w:rPr>
        <w:t>2</w:t>
      </w:r>
      <w:r w:rsidRPr="00F16116">
        <w:rPr>
          <w:color w:val="000000" w:themeColor="text1"/>
        </w:rPr>
        <w:fldChar w:fldCharType="end"/>
      </w:r>
      <w:r>
        <w:t>, all are averages.</w:t>
      </w:r>
    </w:p>
    <w:p w14:paraId="312DA006" w14:textId="15200875" w:rsidR="00EE1DB2" w:rsidRDefault="00EE1DB2" w:rsidP="00F16116">
      <w:pPr>
        <w:pStyle w:val="T-TableTitle"/>
        <w:jc w:val="center"/>
      </w:pPr>
      <w:bookmarkStart w:id="6" w:name="_Ref473300243"/>
      <w:bookmarkStart w:id="7" w:name="_Toc473812169"/>
      <w:r>
        <w:t xml:space="preserve">Table </w:t>
      </w:r>
      <w:bookmarkEnd w:id="6"/>
      <w:r w:rsidR="003921D5">
        <w:t>2</w:t>
      </w:r>
      <w:r>
        <w:t xml:space="preserve"> HO simulations using six performance dimensions</w:t>
      </w:r>
      <w:bookmarkEnd w:id="7"/>
    </w:p>
    <w:tbl>
      <w:tblPr>
        <w:tblW w:w="8784" w:type="dxa"/>
        <w:tblInd w:w="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160"/>
        <w:gridCol w:w="1296"/>
        <w:gridCol w:w="1296"/>
        <w:gridCol w:w="4032"/>
      </w:tblGrid>
      <w:tr w:rsidR="00EE1DB2" w:rsidRPr="004F11B1" w14:paraId="3C919A7F" w14:textId="77777777" w:rsidTr="00C418A6">
        <w:trPr>
          <w:cantSplit/>
          <w:tblHeader/>
        </w:trPr>
        <w:tc>
          <w:tcPr>
            <w:tcW w:w="2160" w:type="dxa"/>
            <w:tcBorders>
              <w:bottom w:val="single" w:sz="12" w:space="0" w:color="auto"/>
            </w:tcBorders>
            <w:shd w:val="clear" w:color="auto" w:fill="auto"/>
            <w:tcMar>
              <w:top w:w="72" w:type="dxa"/>
              <w:left w:w="144" w:type="dxa"/>
              <w:bottom w:w="72" w:type="dxa"/>
              <w:right w:w="144" w:type="dxa"/>
            </w:tcMar>
            <w:hideMark/>
          </w:tcPr>
          <w:p w14:paraId="3E60CF4F" w14:textId="77777777" w:rsidR="00EE1DB2" w:rsidRPr="004F11B1" w:rsidRDefault="00EE1DB2" w:rsidP="00C418A6">
            <w:pPr>
              <w:pStyle w:val="TH-TableHeading"/>
            </w:pPr>
            <w:r w:rsidRPr="004F11B1">
              <w:t>KPI</w:t>
            </w:r>
          </w:p>
        </w:tc>
        <w:tc>
          <w:tcPr>
            <w:tcW w:w="1296" w:type="dxa"/>
            <w:tcBorders>
              <w:bottom w:val="single" w:sz="12" w:space="0" w:color="auto"/>
            </w:tcBorders>
            <w:shd w:val="clear" w:color="auto" w:fill="auto"/>
          </w:tcPr>
          <w:p w14:paraId="22FDEE54" w14:textId="77777777" w:rsidR="00EE1DB2" w:rsidRPr="004F11B1" w:rsidRDefault="00EE1DB2" w:rsidP="00C418A6">
            <w:pPr>
              <w:pStyle w:val="TH-TableHeading"/>
            </w:pPr>
            <w:r w:rsidRPr="004F11B1">
              <w:t>Unit</w:t>
            </w:r>
          </w:p>
        </w:tc>
        <w:tc>
          <w:tcPr>
            <w:tcW w:w="1296" w:type="dxa"/>
            <w:tcBorders>
              <w:bottom w:val="single" w:sz="12" w:space="0" w:color="auto"/>
            </w:tcBorders>
            <w:shd w:val="clear" w:color="auto" w:fill="auto"/>
            <w:tcMar>
              <w:top w:w="72" w:type="dxa"/>
              <w:left w:w="144" w:type="dxa"/>
              <w:bottom w:w="72" w:type="dxa"/>
              <w:right w:w="144" w:type="dxa"/>
            </w:tcMar>
            <w:hideMark/>
          </w:tcPr>
          <w:p w14:paraId="02ACE430" w14:textId="77777777" w:rsidR="00EE1DB2" w:rsidRPr="004F11B1" w:rsidRDefault="00EE1DB2" w:rsidP="00C418A6">
            <w:pPr>
              <w:pStyle w:val="TH-TableHeading"/>
            </w:pPr>
            <w:r w:rsidRPr="004F11B1">
              <w:t>Figure</w:t>
            </w:r>
          </w:p>
        </w:tc>
        <w:tc>
          <w:tcPr>
            <w:tcW w:w="4032" w:type="dxa"/>
            <w:tcBorders>
              <w:bottom w:val="single" w:sz="12" w:space="0" w:color="auto"/>
            </w:tcBorders>
            <w:shd w:val="clear" w:color="auto" w:fill="auto"/>
            <w:tcMar>
              <w:top w:w="72" w:type="dxa"/>
              <w:left w:w="144" w:type="dxa"/>
              <w:bottom w:w="72" w:type="dxa"/>
              <w:right w:w="144" w:type="dxa"/>
            </w:tcMar>
            <w:hideMark/>
          </w:tcPr>
          <w:p w14:paraId="3DBAA67B" w14:textId="77777777" w:rsidR="00EE1DB2" w:rsidRPr="004F11B1" w:rsidRDefault="00EE1DB2" w:rsidP="00C418A6">
            <w:pPr>
              <w:pStyle w:val="TH-TableHeading"/>
            </w:pPr>
            <w:r w:rsidRPr="004F11B1">
              <w:t>Description</w:t>
            </w:r>
          </w:p>
        </w:tc>
      </w:tr>
      <w:tr w:rsidR="00EE1DB2" w:rsidRPr="0032348F" w14:paraId="1FD0D762" w14:textId="77777777" w:rsidTr="00C418A6">
        <w:trPr>
          <w:cantSplit/>
        </w:trPr>
        <w:tc>
          <w:tcPr>
            <w:tcW w:w="2160" w:type="dxa"/>
            <w:tcBorders>
              <w:top w:val="single" w:sz="12" w:space="0" w:color="auto"/>
            </w:tcBorders>
            <w:shd w:val="clear" w:color="auto" w:fill="auto"/>
            <w:tcMar>
              <w:top w:w="72" w:type="dxa"/>
              <w:left w:w="144" w:type="dxa"/>
              <w:bottom w:w="72" w:type="dxa"/>
              <w:right w:w="144" w:type="dxa"/>
            </w:tcMar>
          </w:tcPr>
          <w:p w14:paraId="38E0D480" w14:textId="77777777" w:rsidR="00EE1DB2" w:rsidRPr="0032348F" w:rsidRDefault="00EE1DB2" w:rsidP="00C418A6">
            <w:pPr>
              <w:pStyle w:val="TB-TableBody"/>
            </w:pPr>
            <w:r>
              <w:t>Handover rate</w:t>
            </w:r>
          </w:p>
        </w:tc>
        <w:tc>
          <w:tcPr>
            <w:tcW w:w="1296" w:type="dxa"/>
            <w:tcBorders>
              <w:top w:val="single" w:sz="12" w:space="0" w:color="auto"/>
            </w:tcBorders>
            <w:shd w:val="clear" w:color="auto" w:fill="auto"/>
          </w:tcPr>
          <w:p w14:paraId="24450E97" w14:textId="77777777" w:rsidR="00EE1DB2" w:rsidRDefault="00EE1DB2" w:rsidP="00C418A6">
            <w:pPr>
              <w:pStyle w:val="TB-TableBody"/>
              <w:jc w:val="center"/>
            </w:pPr>
            <w:r>
              <w:t>HO/UE/sec</w:t>
            </w:r>
          </w:p>
        </w:tc>
        <w:tc>
          <w:tcPr>
            <w:tcW w:w="1296" w:type="dxa"/>
            <w:tcBorders>
              <w:top w:val="single" w:sz="12" w:space="0" w:color="auto"/>
            </w:tcBorders>
            <w:shd w:val="clear" w:color="auto" w:fill="auto"/>
            <w:tcMar>
              <w:top w:w="72" w:type="dxa"/>
              <w:left w:w="144" w:type="dxa"/>
              <w:bottom w:w="72" w:type="dxa"/>
              <w:right w:w="144" w:type="dxa"/>
            </w:tcMar>
          </w:tcPr>
          <w:p w14:paraId="084D7367" w14:textId="40A17C97" w:rsidR="00EE1DB2" w:rsidRPr="0032348F" w:rsidRDefault="00EE1DB2" w:rsidP="00C418A6">
            <w:pPr>
              <w:pStyle w:val="TB-TableBody"/>
              <w:jc w:val="both"/>
            </w:pPr>
            <w:r>
              <w:fldChar w:fldCharType="begin"/>
            </w:r>
            <w:r w:rsidRPr="00F16116">
              <w:instrText xml:space="preserve"> REF _Ref473300306 \h \t \* \MERGEFORMAT </w:instrText>
            </w:r>
            <w:r>
              <w:fldChar w:fldCharType="separate"/>
            </w:r>
            <w:r w:rsidRPr="00F16116">
              <w:t xml:space="preserve">Figure </w:t>
            </w:r>
            <w:r w:rsidR="00961E77" w:rsidRPr="00F16116">
              <w:t>3</w:t>
            </w:r>
            <w:r>
              <w:fldChar w:fldCharType="end"/>
            </w:r>
          </w:p>
        </w:tc>
        <w:tc>
          <w:tcPr>
            <w:tcW w:w="4032" w:type="dxa"/>
            <w:tcBorders>
              <w:top w:val="single" w:sz="12" w:space="0" w:color="auto"/>
            </w:tcBorders>
            <w:shd w:val="clear" w:color="auto" w:fill="auto"/>
            <w:tcMar>
              <w:top w:w="72" w:type="dxa"/>
              <w:left w:w="144" w:type="dxa"/>
              <w:bottom w:w="72" w:type="dxa"/>
              <w:right w:w="144" w:type="dxa"/>
            </w:tcMar>
          </w:tcPr>
          <w:p w14:paraId="1E50E0E8" w14:textId="77777777" w:rsidR="00EE1DB2" w:rsidRPr="0032348F" w:rsidRDefault="00EE1DB2" w:rsidP="00C418A6">
            <w:pPr>
              <w:pStyle w:val="TB-TableBody"/>
              <w:jc w:val="both"/>
            </w:pPr>
            <w:r>
              <w:t>Number of HOs over time</w:t>
            </w:r>
          </w:p>
        </w:tc>
      </w:tr>
      <w:tr w:rsidR="00EE1DB2" w:rsidRPr="0032348F" w14:paraId="2E02DD3A" w14:textId="77777777" w:rsidTr="00C418A6">
        <w:trPr>
          <w:cantSplit/>
        </w:trPr>
        <w:tc>
          <w:tcPr>
            <w:tcW w:w="2160" w:type="dxa"/>
            <w:shd w:val="clear" w:color="auto" w:fill="auto"/>
            <w:tcMar>
              <w:top w:w="72" w:type="dxa"/>
              <w:left w:w="144" w:type="dxa"/>
              <w:bottom w:w="72" w:type="dxa"/>
              <w:right w:w="144" w:type="dxa"/>
            </w:tcMar>
          </w:tcPr>
          <w:p w14:paraId="29E39FCC" w14:textId="77777777" w:rsidR="00EE1DB2" w:rsidRDefault="00EE1DB2" w:rsidP="00C418A6">
            <w:pPr>
              <w:pStyle w:val="TB-TableBody"/>
            </w:pPr>
            <w:r>
              <w:t>Radio Link Failure (RLF) rate</w:t>
            </w:r>
          </w:p>
        </w:tc>
        <w:tc>
          <w:tcPr>
            <w:tcW w:w="1296" w:type="dxa"/>
            <w:shd w:val="clear" w:color="auto" w:fill="auto"/>
          </w:tcPr>
          <w:p w14:paraId="1C761CBE" w14:textId="77777777" w:rsidR="00EE1DB2" w:rsidRDefault="00EE1DB2" w:rsidP="00C418A6">
            <w:pPr>
              <w:pStyle w:val="TB-TableBody"/>
              <w:jc w:val="center"/>
            </w:pPr>
            <w:r>
              <w:t>RLF/UE/sec</w:t>
            </w:r>
          </w:p>
        </w:tc>
        <w:tc>
          <w:tcPr>
            <w:tcW w:w="1296" w:type="dxa"/>
            <w:shd w:val="clear" w:color="auto" w:fill="auto"/>
            <w:tcMar>
              <w:top w:w="72" w:type="dxa"/>
              <w:left w:w="144" w:type="dxa"/>
              <w:bottom w:w="72" w:type="dxa"/>
              <w:right w:w="144" w:type="dxa"/>
            </w:tcMar>
          </w:tcPr>
          <w:p w14:paraId="7A39715F" w14:textId="38A93476" w:rsidR="00EE1DB2" w:rsidRDefault="00EE1DB2" w:rsidP="00C418A6">
            <w:pPr>
              <w:pStyle w:val="TB-TableBody"/>
              <w:jc w:val="both"/>
            </w:pPr>
            <w:r>
              <w:fldChar w:fldCharType="begin"/>
            </w:r>
            <w:r w:rsidRPr="00F16116">
              <w:instrText xml:space="preserve"> REF _Ref473300314 \h \t \* \MERGEFORMAT </w:instrText>
            </w:r>
            <w:r>
              <w:fldChar w:fldCharType="separate"/>
            </w:r>
            <w:r w:rsidRPr="00F16116">
              <w:t xml:space="preserve">Figure </w:t>
            </w:r>
            <w:r w:rsidR="00961E77" w:rsidRPr="00F16116">
              <w:t>4</w:t>
            </w:r>
            <w:r>
              <w:fldChar w:fldCharType="end"/>
            </w:r>
          </w:p>
        </w:tc>
        <w:tc>
          <w:tcPr>
            <w:tcW w:w="4032" w:type="dxa"/>
            <w:shd w:val="clear" w:color="auto" w:fill="auto"/>
            <w:tcMar>
              <w:top w:w="72" w:type="dxa"/>
              <w:left w:w="144" w:type="dxa"/>
              <w:bottom w:w="72" w:type="dxa"/>
              <w:right w:w="144" w:type="dxa"/>
            </w:tcMar>
          </w:tcPr>
          <w:p w14:paraId="08BF4D3D" w14:textId="77777777" w:rsidR="00EE1DB2" w:rsidRPr="0032348F" w:rsidRDefault="00EE1DB2" w:rsidP="00C418A6">
            <w:pPr>
              <w:pStyle w:val="TB-TableBody"/>
              <w:jc w:val="both"/>
            </w:pPr>
            <w:r>
              <w:t>Number of RLFs over time</w:t>
            </w:r>
          </w:p>
        </w:tc>
      </w:tr>
      <w:tr w:rsidR="00EE1DB2" w:rsidRPr="0032348F" w14:paraId="3C14B831" w14:textId="77777777" w:rsidTr="00C418A6">
        <w:trPr>
          <w:cantSplit/>
        </w:trPr>
        <w:tc>
          <w:tcPr>
            <w:tcW w:w="2160" w:type="dxa"/>
            <w:shd w:val="clear" w:color="auto" w:fill="auto"/>
            <w:tcMar>
              <w:top w:w="72" w:type="dxa"/>
              <w:left w:w="144" w:type="dxa"/>
              <w:bottom w:w="72" w:type="dxa"/>
              <w:right w:w="144" w:type="dxa"/>
            </w:tcMar>
          </w:tcPr>
          <w:p w14:paraId="3EEDB929" w14:textId="77777777" w:rsidR="00EE1DB2" w:rsidRPr="0032348F" w:rsidRDefault="00EE1DB2" w:rsidP="00C418A6">
            <w:pPr>
              <w:pStyle w:val="TB-TableBody"/>
            </w:pPr>
            <w:r>
              <w:t>Time in handoff</w:t>
            </w:r>
          </w:p>
        </w:tc>
        <w:tc>
          <w:tcPr>
            <w:tcW w:w="1296" w:type="dxa"/>
            <w:shd w:val="clear" w:color="auto" w:fill="auto"/>
          </w:tcPr>
          <w:p w14:paraId="40E5317C" w14:textId="77777777" w:rsidR="00EE1DB2" w:rsidRDefault="00EE1DB2" w:rsidP="00C418A6">
            <w:pPr>
              <w:pStyle w:val="TB-TableBody"/>
              <w:jc w:val="center"/>
            </w:pPr>
            <w:r>
              <w:t>%</w:t>
            </w:r>
          </w:p>
        </w:tc>
        <w:tc>
          <w:tcPr>
            <w:tcW w:w="1296" w:type="dxa"/>
            <w:shd w:val="clear" w:color="auto" w:fill="auto"/>
            <w:tcMar>
              <w:top w:w="72" w:type="dxa"/>
              <w:left w:w="144" w:type="dxa"/>
              <w:bottom w:w="72" w:type="dxa"/>
              <w:right w:w="144" w:type="dxa"/>
            </w:tcMar>
          </w:tcPr>
          <w:p w14:paraId="33A848D9" w14:textId="5F112200" w:rsidR="00EE1DB2" w:rsidRPr="0032348F" w:rsidRDefault="00EE1DB2" w:rsidP="00C418A6">
            <w:pPr>
              <w:pStyle w:val="TB-TableBody"/>
              <w:jc w:val="both"/>
            </w:pPr>
            <w:r>
              <w:fldChar w:fldCharType="begin"/>
            </w:r>
            <w:r w:rsidRPr="00F16116">
              <w:instrText xml:space="preserve"> REF _Ref473300326 \h \t \* \MERGEFORMAT </w:instrText>
            </w:r>
            <w:r>
              <w:fldChar w:fldCharType="separate"/>
            </w:r>
            <w:r w:rsidRPr="00F16116">
              <w:t xml:space="preserve">Figure </w:t>
            </w:r>
            <w:r w:rsidR="00961E77" w:rsidRPr="00F16116">
              <w:t>5</w:t>
            </w:r>
            <w:r>
              <w:fldChar w:fldCharType="end"/>
            </w:r>
          </w:p>
        </w:tc>
        <w:tc>
          <w:tcPr>
            <w:tcW w:w="4032" w:type="dxa"/>
            <w:shd w:val="clear" w:color="auto" w:fill="auto"/>
            <w:tcMar>
              <w:top w:w="72" w:type="dxa"/>
              <w:left w:w="144" w:type="dxa"/>
              <w:bottom w:w="72" w:type="dxa"/>
              <w:right w:w="144" w:type="dxa"/>
            </w:tcMar>
          </w:tcPr>
          <w:p w14:paraId="59FF8EC3" w14:textId="77777777" w:rsidR="00EE1DB2" w:rsidRPr="0032348F" w:rsidRDefault="00EE1DB2" w:rsidP="00C418A6">
            <w:pPr>
              <w:pStyle w:val="TB-TableBody"/>
              <w:jc w:val="both"/>
            </w:pPr>
            <w:r>
              <w:t>Fraction of time a UE is in a HO procedure</w:t>
            </w:r>
          </w:p>
        </w:tc>
      </w:tr>
      <w:tr w:rsidR="00EE1DB2" w:rsidRPr="0032348F" w14:paraId="0AC27807" w14:textId="77777777" w:rsidTr="00C418A6">
        <w:trPr>
          <w:cantSplit/>
        </w:trPr>
        <w:tc>
          <w:tcPr>
            <w:tcW w:w="2160" w:type="dxa"/>
            <w:shd w:val="clear" w:color="auto" w:fill="auto"/>
            <w:tcMar>
              <w:top w:w="72" w:type="dxa"/>
              <w:left w:w="144" w:type="dxa"/>
              <w:bottom w:w="72" w:type="dxa"/>
              <w:right w:w="144" w:type="dxa"/>
            </w:tcMar>
          </w:tcPr>
          <w:p w14:paraId="01EAF21E" w14:textId="77777777" w:rsidR="00EE1DB2" w:rsidRPr="0032348F" w:rsidRDefault="00EE1DB2" w:rsidP="00C418A6">
            <w:pPr>
              <w:pStyle w:val="TB-TableBody"/>
            </w:pPr>
            <w:r>
              <w:t xml:space="preserve">Time in </w:t>
            </w:r>
            <w:proofErr w:type="spellStart"/>
            <w:r>
              <w:t>Qout</w:t>
            </w:r>
            <w:proofErr w:type="spellEnd"/>
          </w:p>
        </w:tc>
        <w:tc>
          <w:tcPr>
            <w:tcW w:w="1296" w:type="dxa"/>
            <w:shd w:val="clear" w:color="auto" w:fill="auto"/>
          </w:tcPr>
          <w:p w14:paraId="2D5712DC" w14:textId="77777777" w:rsidR="00EE1DB2" w:rsidRDefault="00EE1DB2" w:rsidP="00C418A6">
            <w:pPr>
              <w:pStyle w:val="TB-TableBody"/>
              <w:jc w:val="center"/>
            </w:pPr>
            <w:r>
              <w:t>%</w:t>
            </w:r>
          </w:p>
        </w:tc>
        <w:tc>
          <w:tcPr>
            <w:tcW w:w="1296" w:type="dxa"/>
            <w:shd w:val="clear" w:color="auto" w:fill="auto"/>
            <w:tcMar>
              <w:top w:w="72" w:type="dxa"/>
              <w:left w:w="144" w:type="dxa"/>
              <w:bottom w:w="72" w:type="dxa"/>
              <w:right w:w="144" w:type="dxa"/>
            </w:tcMar>
          </w:tcPr>
          <w:p w14:paraId="007B50FA" w14:textId="45067CCF" w:rsidR="00EE1DB2" w:rsidRPr="0032348F" w:rsidRDefault="00EE1DB2" w:rsidP="00C418A6">
            <w:pPr>
              <w:pStyle w:val="TB-TableBody"/>
              <w:jc w:val="both"/>
            </w:pPr>
            <w:r>
              <w:fldChar w:fldCharType="begin"/>
            </w:r>
            <w:r w:rsidRPr="00F16116">
              <w:instrText xml:space="preserve"> REF _Ref473300354 \h \t \* \MERGEFORMAT </w:instrText>
            </w:r>
            <w:r>
              <w:fldChar w:fldCharType="separate"/>
            </w:r>
            <w:r w:rsidRPr="00F16116">
              <w:t xml:space="preserve">Figure </w:t>
            </w:r>
            <w:r w:rsidR="00961E77" w:rsidRPr="00F16116">
              <w:t>6</w:t>
            </w:r>
            <w:r>
              <w:fldChar w:fldCharType="end"/>
            </w:r>
          </w:p>
        </w:tc>
        <w:tc>
          <w:tcPr>
            <w:tcW w:w="4032" w:type="dxa"/>
            <w:shd w:val="clear" w:color="auto" w:fill="auto"/>
            <w:tcMar>
              <w:top w:w="72" w:type="dxa"/>
              <w:left w:w="144" w:type="dxa"/>
              <w:bottom w:w="72" w:type="dxa"/>
              <w:right w:w="144" w:type="dxa"/>
            </w:tcMar>
          </w:tcPr>
          <w:p w14:paraId="15DE4324" w14:textId="77777777" w:rsidR="00EE1DB2" w:rsidRPr="0032348F" w:rsidRDefault="00EE1DB2" w:rsidP="00C418A6">
            <w:pPr>
              <w:pStyle w:val="TB-TableBody"/>
              <w:jc w:val="both"/>
            </w:pPr>
            <w:r>
              <w:t xml:space="preserve">Fraction of time a UE is in </w:t>
            </w:r>
            <w:proofErr w:type="spellStart"/>
            <w:r>
              <w:t>Qout</w:t>
            </w:r>
            <w:proofErr w:type="spellEnd"/>
            <w:r>
              <w:t xml:space="preserve"> state</w:t>
            </w:r>
          </w:p>
        </w:tc>
      </w:tr>
      <w:tr w:rsidR="00EE1DB2" w:rsidRPr="0032348F" w14:paraId="353EFA17" w14:textId="77777777" w:rsidTr="00C418A6">
        <w:trPr>
          <w:cantSplit/>
        </w:trPr>
        <w:tc>
          <w:tcPr>
            <w:tcW w:w="2160" w:type="dxa"/>
            <w:shd w:val="clear" w:color="auto" w:fill="auto"/>
            <w:tcMar>
              <w:top w:w="72" w:type="dxa"/>
              <w:left w:w="144" w:type="dxa"/>
              <w:bottom w:w="72" w:type="dxa"/>
              <w:right w:w="144" w:type="dxa"/>
            </w:tcMar>
          </w:tcPr>
          <w:p w14:paraId="61834925" w14:textId="77777777" w:rsidR="00EE1DB2" w:rsidRPr="0032348F" w:rsidRDefault="00EE1DB2" w:rsidP="00C418A6">
            <w:pPr>
              <w:pStyle w:val="TB-TableBody"/>
            </w:pPr>
            <w:r>
              <w:t>Handover interruptions</w:t>
            </w:r>
          </w:p>
        </w:tc>
        <w:tc>
          <w:tcPr>
            <w:tcW w:w="1296" w:type="dxa"/>
            <w:shd w:val="clear" w:color="auto" w:fill="auto"/>
          </w:tcPr>
          <w:p w14:paraId="0499F32A" w14:textId="77777777" w:rsidR="00EE1DB2" w:rsidRDefault="00EE1DB2" w:rsidP="00C418A6">
            <w:pPr>
              <w:pStyle w:val="TB-TableBody"/>
              <w:jc w:val="center"/>
            </w:pPr>
            <w:r>
              <w:t>%</w:t>
            </w:r>
          </w:p>
        </w:tc>
        <w:tc>
          <w:tcPr>
            <w:tcW w:w="1296" w:type="dxa"/>
            <w:shd w:val="clear" w:color="auto" w:fill="auto"/>
            <w:tcMar>
              <w:top w:w="72" w:type="dxa"/>
              <w:left w:w="144" w:type="dxa"/>
              <w:bottom w:w="72" w:type="dxa"/>
              <w:right w:w="144" w:type="dxa"/>
            </w:tcMar>
          </w:tcPr>
          <w:p w14:paraId="21123E78" w14:textId="3F895E97" w:rsidR="00EE1DB2" w:rsidRPr="0032348F" w:rsidRDefault="00EE1DB2" w:rsidP="00C418A6">
            <w:pPr>
              <w:pStyle w:val="TB-TableBody"/>
              <w:jc w:val="both"/>
            </w:pPr>
            <w:r>
              <w:fldChar w:fldCharType="begin"/>
            </w:r>
            <w:r w:rsidRPr="00F16116">
              <w:instrText xml:space="preserve"> REF _Ref473300375 \h \t \* \MERGEFORMAT </w:instrText>
            </w:r>
            <w:r>
              <w:fldChar w:fldCharType="separate"/>
            </w:r>
            <w:r w:rsidRPr="00F16116">
              <w:t xml:space="preserve">Figure </w:t>
            </w:r>
            <w:r w:rsidR="00961E77" w:rsidRPr="00F16116">
              <w:t>7</w:t>
            </w:r>
            <w:r>
              <w:fldChar w:fldCharType="end"/>
            </w:r>
          </w:p>
        </w:tc>
        <w:tc>
          <w:tcPr>
            <w:tcW w:w="4032" w:type="dxa"/>
            <w:shd w:val="clear" w:color="auto" w:fill="auto"/>
            <w:tcMar>
              <w:top w:w="72" w:type="dxa"/>
              <w:left w:w="144" w:type="dxa"/>
              <w:bottom w:w="72" w:type="dxa"/>
              <w:right w:w="144" w:type="dxa"/>
            </w:tcMar>
          </w:tcPr>
          <w:p w14:paraId="53F33B83" w14:textId="77777777" w:rsidR="00EE1DB2" w:rsidRPr="0032348F" w:rsidRDefault="00EE1DB2" w:rsidP="00C418A6">
            <w:pPr>
              <w:pStyle w:val="TB-TableBody"/>
              <w:jc w:val="both"/>
            </w:pPr>
            <w:r>
              <w:t>Percentage of HO procedures that start but fail</w:t>
            </w:r>
          </w:p>
        </w:tc>
      </w:tr>
      <w:tr w:rsidR="00EE1DB2" w:rsidRPr="0032348F" w14:paraId="3D04644A" w14:textId="77777777" w:rsidTr="00C418A6">
        <w:trPr>
          <w:cantSplit/>
        </w:trPr>
        <w:tc>
          <w:tcPr>
            <w:tcW w:w="2160" w:type="dxa"/>
            <w:shd w:val="clear" w:color="auto" w:fill="auto"/>
            <w:tcMar>
              <w:top w:w="72" w:type="dxa"/>
              <w:left w:w="144" w:type="dxa"/>
              <w:bottom w:w="72" w:type="dxa"/>
              <w:right w:w="144" w:type="dxa"/>
            </w:tcMar>
          </w:tcPr>
          <w:p w14:paraId="4C0D149A" w14:textId="77777777" w:rsidR="00EE1DB2" w:rsidRPr="0032348F" w:rsidRDefault="00EE1DB2" w:rsidP="00C418A6">
            <w:pPr>
              <w:pStyle w:val="TB-TableBody"/>
            </w:pPr>
            <w:r>
              <w:t>Re-establishment interruptions</w:t>
            </w:r>
          </w:p>
        </w:tc>
        <w:tc>
          <w:tcPr>
            <w:tcW w:w="1296" w:type="dxa"/>
            <w:shd w:val="clear" w:color="auto" w:fill="auto"/>
          </w:tcPr>
          <w:p w14:paraId="2CDC4664" w14:textId="77777777" w:rsidR="00EE1DB2" w:rsidRDefault="00EE1DB2" w:rsidP="00C418A6">
            <w:pPr>
              <w:pStyle w:val="TB-TableBody"/>
              <w:jc w:val="center"/>
            </w:pPr>
            <w:r>
              <w:t>%</w:t>
            </w:r>
          </w:p>
        </w:tc>
        <w:tc>
          <w:tcPr>
            <w:tcW w:w="1296" w:type="dxa"/>
            <w:shd w:val="clear" w:color="auto" w:fill="auto"/>
            <w:tcMar>
              <w:top w:w="72" w:type="dxa"/>
              <w:left w:w="144" w:type="dxa"/>
              <w:bottom w:w="72" w:type="dxa"/>
              <w:right w:w="144" w:type="dxa"/>
            </w:tcMar>
          </w:tcPr>
          <w:p w14:paraId="19853A21" w14:textId="7BB9583D" w:rsidR="00EE1DB2" w:rsidRPr="0032348F" w:rsidRDefault="00EE1DB2" w:rsidP="00C418A6">
            <w:pPr>
              <w:pStyle w:val="TB-TableBody"/>
              <w:jc w:val="both"/>
            </w:pPr>
            <w:r>
              <w:fldChar w:fldCharType="begin"/>
            </w:r>
            <w:r w:rsidRPr="00F16116">
              <w:instrText xml:space="preserve"> REF _Ref473300385 \h \t \* \MERGEFORMAT </w:instrText>
            </w:r>
            <w:r>
              <w:fldChar w:fldCharType="separate"/>
            </w:r>
            <w:r w:rsidRPr="00F16116">
              <w:t xml:space="preserve">Figure </w:t>
            </w:r>
            <w:r w:rsidR="00961E77" w:rsidRPr="00F16116">
              <w:t>8</w:t>
            </w:r>
            <w:r>
              <w:fldChar w:fldCharType="end"/>
            </w:r>
          </w:p>
        </w:tc>
        <w:tc>
          <w:tcPr>
            <w:tcW w:w="4032" w:type="dxa"/>
            <w:shd w:val="clear" w:color="auto" w:fill="auto"/>
            <w:tcMar>
              <w:top w:w="72" w:type="dxa"/>
              <w:left w:w="144" w:type="dxa"/>
              <w:bottom w:w="72" w:type="dxa"/>
              <w:right w:w="144" w:type="dxa"/>
            </w:tcMar>
          </w:tcPr>
          <w:p w14:paraId="2713C8A0" w14:textId="77777777" w:rsidR="00EE1DB2" w:rsidRPr="0032348F" w:rsidRDefault="00EE1DB2" w:rsidP="00C418A6">
            <w:pPr>
              <w:pStyle w:val="TB-TableBody"/>
              <w:jc w:val="both"/>
            </w:pPr>
            <w:r>
              <w:t>Percentage of HO re-establishment procedures that start but fail</w:t>
            </w:r>
          </w:p>
        </w:tc>
      </w:tr>
    </w:tbl>
    <w:p w14:paraId="6C882D44" w14:textId="5E235F3F" w:rsidR="00EE1DB2" w:rsidRDefault="00EE1DB2" w:rsidP="00EE1DB2">
      <w:pPr>
        <w:pStyle w:val="B-Body"/>
      </w:pPr>
      <w:r>
        <w:fldChar w:fldCharType="begin"/>
      </w:r>
      <w:r w:rsidRPr="00F16116">
        <w:instrText xml:space="preserve"> REF _Ref473300306 \h \t \* \MERGEFORMAT </w:instrText>
      </w:r>
      <w:r>
        <w:fldChar w:fldCharType="separate"/>
      </w:r>
      <w:r w:rsidRPr="00F16116">
        <w:t xml:space="preserve">Figure </w:t>
      </w:r>
      <w:r w:rsidR="003921D5" w:rsidRPr="00F16116">
        <w:t>3</w:t>
      </w:r>
      <w:r>
        <w:fldChar w:fldCharType="end"/>
      </w:r>
      <w:r>
        <w:t xml:space="preserve"> </w:t>
      </w:r>
      <w:r w:rsidRPr="008321DA">
        <w:t>shows</w:t>
      </w:r>
      <w:r>
        <w:t xml:space="preserve"> the </w:t>
      </w:r>
      <w:r w:rsidRPr="008321DA">
        <w:t xml:space="preserve">average number of handovers per UE per second. </w:t>
      </w:r>
    </w:p>
    <w:p w14:paraId="3F3D875C" w14:textId="1343DA11" w:rsidR="00EE1DB2" w:rsidRDefault="00EE1DB2" w:rsidP="00EF7957">
      <w:pPr>
        <w:pStyle w:val="B-Body"/>
        <w:ind w:left="0"/>
        <w:jc w:val="both"/>
      </w:pPr>
      <w:r w:rsidRPr="008321DA">
        <w:lastRenderedPageBreak/>
        <w:t xml:space="preserve">As </w:t>
      </w:r>
      <w:r>
        <w:t>shown</w:t>
      </w:r>
      <w:r w:rsidRPr="008321DA">
        <w:t xml:space="preserve">, drone UEs </w:t>
      </w:r>
      <w:r w:rsidR="00961E77">
        <w:t>experience</w:t>
      </w:r>
      <w:r>
        <w:t xml:space="preserve"> a</w:t>
      </w:r>
      <w:r w:rsidRPr="008321DA">
        <w:t xml:space="preserve"> smaller handover rate than ground UEs. Even</w:t>
      </w:r>
      <w:r>
        <w:t xml:space="preserve"> </w:t>
      </w:r>
      <w:r w:rsidRPr="008321DA">
        <w:t xml:space="preserve">though the </w:t>
      </w:r>
      <w:r>
        <w:t>amount</w:t>
      </w:r>
      <w:r w:rsidRPr="008321DA">
        <w:t xml:space="preserve"> of strong interference for drone UEs increases due to better radio propagation at higher elevation</w:t>
      </w:r>
      <w:r>
        <w:t>s</w:t>
      </w:r>
      <w:r w:rsidRPr="008321DA">
        <w:t xml:space="preserve">, the radio conditions are also more stable, which leads to reduced handover rate. </w:t>
      </w:r>
    </w:p>
    <w:p w14:paraId="5091AE11" w14:textId="63F7ED1A" w:rsidR="00961E77" w:rsidRPr="00F16116" w:rsidRDefault="00961E77" w:rsidP="00EF7957">
      <w:pPr>
        <w:jc w:val="both"/>
      </w:pPr>
    </w:p>
    <w:p w14:paraId="367E9F6D" w14:textId="1C324BC6" w:rsidR="00EE1DB2" w:rsidRDefault="00EE1DB2" w:rsidP="00EF7957">
      <w:pPr>
        <w:pStyle w:val="B-Body"/>
        <w:ind w:left="0"/>
        <w:jc w:val="both"/>
      </w:pPr>
      <w:r w:rsidRPr="008321DA">
        <w:t xml:space="preserve">The handover rate for ground UEs is impacted by significant variation of received signal strength due to shadowing, which has standard deviation of 10 dB and decorrelation distance of 30 m. </w:t>
      </w:r>
    </w:p>
    <w:p w14:paraId="32B6EB9F" w14:textId="77777777" w:rsidR="00EE1DB2" w:rsidRDefault="00EE1DB2" w:rsidP="00EF7957">
      <w:pPr>
        <w:pStyle w:val="B-Body"/>
        <w:ind w:left="0"/>
        <w:jc w:val="both"/>
      </w:pPr>
      <w:r>
        <w:t>A</w:t>
      </w:r>
      <w:r w:rsidRPr="008321DA">
        <w:t>t UE speed of 0 km/h, drone UEs experience slightly higher handover rates, due to static radio conditions for all UEs and larger impact of measurement errors on drone UEs.</w:t>
      </w:r>
    </w:p>
    <w:p w14:paraId="2E79F021" w14:textId="77777777" w:rsidR="00EE1DB2" w:rsidRDefault="00EE1DB2" w:rsidP="00F16116">
      <w:pPr>
        <w:pStyle w:val="A-Anchor"/>
        <w:jc w:val="center"/>
        <w:rPr>
          <w:lang w:eastAsia="ja-JP"/>
        </w:rPr>
      </w:pPr>
      <w:r w:rsidRPr="00C66ADB">
        <w:rPr>
          <w:noProof/>
          <w:lang w:eastAsia="ja-JP"/>
        </w:rPr>
        <w:drawing>
          <wp:inline distT="0" distB="0" distL="0" distR="0" wp14:anchorId="18EA2870" wp14:editId="6A1E091B">
            <wp:extent cx="3321100" cy="2618842"/>
            <wp:effectExtent l="0" t="0" r="0" b="0"/>
            <wp:docPr id="46"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Picture 9"/>
                    <pic:cNvPicPr>
                      <a:picLocks/>
                    </pic:cNvPicPr>
                  </pic:nvPicPr>
                  <pic:blipFill>
                    <a:blip r:embed="rId11"/>
                    <a:stretch>
                      <a:fillRect/>
                    </a:stretch>
                  </pic:blipFill>
                  <pic:spPr>
                    <a:xfrm>
                      <a:off x="0" y="0"/>
                      <a:ext cx="3342955" cy="2636076"/>
                    </a:xfrm>
                    <a:prstGeom prst="rect">
                      <a:avLst/>
                    </a:prstGeom>
                  </pic:spPr>
                </pic:pic>
              </a:graphicData>
            </a:graphic>
          </wp:inline>
        </w:drawing>
      </w:r>
    </w:p>
    <w:p w14:paraId="16FDF2C4" w14:textId="3D38F303" w:rsidR="00EE1DB2" w:rsidRDefault="00EE1DB2" w:rsidP="00F16116">
      <w:pPr>
        <w:pStyle w:val="F-FigureTitle"/>
        <w:keepNext w:val="0"/>
        <w:jc w:val="center"/>
      </w:pPr>
      <w:bookmarkStart w:id="8" w:name="_Ref473300306"/>
      <w:bookmarkStart w:id="9" w:name="_Toc473295386"/>
      <w:bookmarkStart w:id="10" w:name="_Toc474155538"/>
      <w:r>
        <w:t xml:space="preserve">Figure </w:t>
      </w:r>
      <w:bookmarkEnd w:id="8"/>
      <w:r w:rsidR="003921D5">
        <w:t>3</w:t>
      </w:r>
      <w:r>
        <w:t xml:space="preserve"> Handover rates</w:t>
      </w:r>
      <w:bookmarkEnd w:id="9"/>
      <w:bookmarkEnd w:id="10"/>
    </w:p>
    <w:p w14:paraId="5E45DCC9" w14:textId="5779273C" w:rsidR="00841160" w:rsidRPr="00AD6DD4" w:rsidRDefault="00841160" w:rsidP="00841160">
      <w:pPr>
        <w:jc w:val="both"/>
        <w:rPr>
          <w:b/>
          <w:sz w:val="22"/>
        </w:rPr>
      </w:pPr>
      <w:r w:rsidRPr="00AD6DD4">
        <w:rPr>
          <w:b/>
          <w:sz w:val="22"/>
          <w:u w:val="single"/>
        </w:rPr>
        <w:t>Observation 1:</w:t>
      </w:r>
      <w:r w:rsidRPr="00AD6DD4">
        <w:rPr>
          <w:b/>
          <w:sz w:val="22"/>
        </w:rPr>
        <w:t xml:space="preserve"> Drone UEs </w:t>
      </w:r>
      <w:r w:rsidR="0017207A" w:rsidRPr="00AD6DD4">
        <w:rPr>
          <w:b/>
          <w:sz w:val="22"/>
        </w:rPr>
        <w:t>experience</w:t>
      </w:r>
      <w:r w:rsidRPr="00AD6DD4">
        <w:rPr>
          <w:b/>
          <w:sz w:val="22"/>
        </w:rPr>
        <w:t xml:space="preserve"> less handovers than</w:t>
      </w:r>
      <w:r w:rsidR="0017207A" w:rsidRPr="00AD6DD4">
        <w:rPr>
          <w:b/>
          <w:sz w:val="22"/>
        </w:rPr>
        <w:t xml:space="preserve"> ground based UE</w:t>
      </w:r>
      <w:r w:rsidRPr="00AD6DD4">
        <w:rPr>
          <w:b/>
          <w:sz w:val="22"/>
        </w:rPr>
        <w:t>s.</w:t>
      </w:r>
    </w:p>
    <w:p w14:paraId="2756F556" w14:textId="43A846F4" w:rsidR="00EE1DB2" w:rsidRDefault="00EE1DB2" w:rsidP="00EF7957">
      <w:pPr>
        <w:pStyle w:val="B-Body"/>
        <w:keepNext/>
        <w:ind w:left="0"/>
        <w:jc w:val="both"/>
      </w:pPr>
      <w:r w:rsidRPr="008321DA">
        <w:lastRenderedPageBreak/>
        <w:t>In LTE, radio link failure events are expected to be infrequent as shown in</w:t>
      </w:r>
      <w:r>
        <w:t xml:space="preserve"> </w:t>
      </w:r>
      <w:r>
        <w:fldChar w:fldCharType="begin"/>
      </w:r>
      <w:r w:rsidRPr="00F16116">
        <w:instrText xml:space="preserve"> REF _Ref473300314 \h \t \* \MERGEFORMAT </w:instrText>
      </w:r>
      <w:r>
        <w:fldChar w:fldCharType="separate"/>
      </w:r>
      <w:r w:rsidRPr="00F16116">
        <w:t xml:space="preserve">Figure </w:t>
      </w:r>
      <w:r w:rsidR="003921D5" w:rsidRPr="00F16116">
        <w:t>4</w:t>
      </w:r>
      <w:r>
        <w:fldChar w:fldCharType="end"/>
      </w:r>
      <w:r w:rsidRPr="008321DA">
        <w:t>. A relatively stable radio environment for drone UEs translates to virtually no RLF events during the system simulation run, even for drone UE speed of 120 km/h.</w:t>
      </w:r>
    </w:p>
    <w:p w14:paraId="4FD576F1" w14:textId="66BAF43C" w:rsidR="00961E77" w:rsidRPr="00AD6DD4" w:rsidRDefault="00841160" w:rsidP="00961E77">
      <w:pPr>
        <w:pStyle w:val="B-Body"/>
        <w:keepNext/>
        <w:ind w:left="0"/>
        <w:rPr>
          <w:b/>
        </w:rPr>
      </w:pPr>
      <w:r w:rsidRPr="00AD6DD4">
        <w:rPr>
          <w:b/>
          <w:u w:val="single"/>
        </w:rPr>
        <w:t>Observation 2:</w:t>
      </w:r>
      <w:r w:rsidRPr="00F16116">
        <w:rPr>
          <w:b/>
        </w:rPr>
        <w:t xml:space="preserve"> </w:t>
      </w:r>
      <w:r w:rsidRPr="00AD6DD4">
        <w:rPr>
          <w:b/>
        </w:rPr>
        <w:t>D</w:t>
      </w:r>
      <w:r w:rsidR="00961E77" w:rsidRPr="00AD6DD4">
        <w:rPr>
          <w:b/>
        </w:rPr>
        <w:t xml:space="preserve">rone UEs </w:t>
      </w:r>
      <w:r w:rsidR="0017207A" w:rsidRPr="00AD6DD4">
        <w:rPr>
          <w:b/>
        </w:rPr>
        <w:t>experience</w:t>
      </w:r>
      <w:r w:rsidR="00961E77" w:rsidRPr="00AD6DD4">
        <w:rPr>
          <w:b/>
        </w:rPr>
        <w:t xml:space="preserve"> </w:t>
      </w:r>
      <w:r w:rsidRPr="00AD6DD4">
        <w:rPr>
          <w:b/>
        </w:rPr>
        <w:t>less</w:t>
      </w:r>
      <w:r w:rsidR="00961E77" w:rsidRPr="00AD6DD4">
        <w:rPr>
          <w:b/>
        </w:rPr>
        <w:t xml:space="preserve"> radio link failures </w:t>
      </w:r>
      <w:r w:rsidRPr="00AD6DD4">
        <w:rPr>
          <w:b/>
        </w:rPr>
        <w:t>than</w:t>
      </w:r>
      <w:r w:rsidR="0017207A" w:rsidRPr="00AD6DD4">
        <w:rPr>
          <w:b/>
        </w:rPr>
        <w:t xml:space="preserve"> ground based UE</w:t>
      </w:r>
      <w:r w:rsidR="00961E77" w:rsidRPr="00AD6DD4">
        <w:rPr>
          <w:b/>
        </w:rPr>
        <w:t>s.</w:t>
      </w:r>
    </w:p>
    <w:p w14:paraId="06BAB5D8" w14:textId="77777777" w:rsidR="00961E77" w:rsidRDefault="00961E77" w:rsidP="00961E77">
      <w:pPr>
        <w:pStyle w:val="B-Body"/>
        <w:keepNext/>
        <w:ind w:left="0"/>
      </w:pPr>
    </w:p>
    <w:p w14:paraId="4E0EBD8E" w14:textId="77777777" w:rsidR="00EE1DB2" w:rsidRDefault="00EE1DB2" w:rsidP="00F16116">
      <w:pPr>
        <w:pStyle w:val="A-Anchor"/>
        <w:jc w:val="center"/>
        <w:rPr>
          <w:lang w:eastAsia="ja-JP"/>
        </w:rPr>
      </w:pPr>
      <w:r w:rsidRPr="00C66ADB">
        <w:rPr>
          <w:noProof/>
          <w:lang w:eastAsia="ja-JP"/>
        </w:rPr>
        <w:drawing>
          <wp:inline distT="0" distB="0" distL="0" distR="0" wp14:anchorId="1D504866" wp14:editId="2BF620A3">
            <wp:extent cx="3319272" cy="2615184"/>
            <wp:effectExtent l="0" t="0" r="0" b="0"/>
            <wp:docPr id="51"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Picture 10"/>
                    <pic:cNvPicPr>
                      <a:picLocks/>
                    </pic:cNvPicPr>
                  </pic:nvPicPr>
                  <pic:blipFill>
                    <a:blip r:embed="rId12"/>
                    <a:stretch>
                      <a:fillRect/>
                    </a:stretch>
                  </pic:blipFill>
                  <pic:spPr>
                    <a:xfrm>
                      <a:off x="0" y="0"/>
                      <a:ext cx="3319272" cy="2615184"/>
                    </a:xfrm>
                    <a:prstGeom prst="rect">
                      <a:avLst/>
                    </a:prstGeom>
                  </pic:spPr>
                </pic:pic>
              </a:graphicData>
            </a:graphic>
          </wp:inline>
        </w:drawing>
      </w:r>
    </w:p>
    <w:p w14:paraId="268ADE35" w14:textId="5DA54BFC" w:rsidR="00EE1DB2" w:rsidRDefault="00EE1DB2" w:rsidP="00F16116">
      <w:pPr>
        <w:pStyle w:val="F-FigureTitle"/>
        <w:jc w:val="center"/>
      </w:pPr>
      <w:bookmarkStart w:id="11" w:name="_Ref473300314"/>
      <w:bookmarkStart w:id="12" w:name="_Toc473295387"/>
      <w:bookmarkStart w:id="13" w:name="_Toc474155539"/>
      <w:r>
        <w:t xml:space="preserve">Figure </w:t>
      </w:r>
      <w:bookmarkEnd w:id="11"/>
      <w:r w:rsidR="003921D5">
        <w:t>4</w:t>
      </w:r>
      <w:r>
        <w:t xml:space="preserve"> Radio link failure rates</w:t>
      </w:r>
      <w:bookmarkEnd w:id="12"/>
      <w:bookmarkEnd w:id="13"/>
    </w:p>
    <w:p w14:paraId="387B6721" w14:textId="3499DEA5" w:rsidR="00EE1DB2" w:rsidRDefault="00EE1DB2" w:rsidP="00EF7957">
      <w:pPr>
        <w:pStyle w:val="B-Body"/>
        <w:ind w:left="0"/>
        <w:jc w:val="both"/>
      </w:pPr>
      <w:r>
        <w:t xml:space="preserve">In </w:t>
      </w:r>
      <w:r>
        <w:fldChar w:fldCharType="begin"/>
      </w:r>
      <w:r w:rsidRPr="00F16116">
        <w:instrText xml:space="preserve"> REF _Ref473300326 \h \t \* \MERGEFORMAT </w:instrText>
      </w:r>
      <w:r>
        <w:fldChar w:fldCharType="separate"/>
      </w:r>
      <w:r w:rsidRPr="00F16116">
        <w:t xml:space="preserve">Figure </w:t>
      </w:r>
      <w:r w:rsidR="003921D5" w:rsidRPr="00F16116">
        <w:t>5</w:t>
      </w:r>
      <w:r>
        <w:fldChar w:fldCharType="end"/>
      </w:r>
      <w:r>
        <w:t xml:space="preserve"> and </w:t>
      </w:r>
      <w:r>
        <w:fldChar w:fldCharType="begin"/>
      </w:r>
      <w:r w:rsidRPr="00F16116">
        <w:instrText xml:space="preserve"> REF _Ref473300354 \h \t \* \MERGEFORMAT </w:instrText>
      </w:r>
      <w:r>
        <w:fldChar w:fldCharType="separate"/>
      </w:r>
      <w:r w:rsidRPr="00F16116">
        <w:t xml:space="preserve">Figure </w:t>
      </w:r>
      <w:r w:rsidR="003921D5" w:rsidRPr="00F16116">
        <w:t>6</w:t>
      </w:r>
      <w:r>
        <w:fldChar w:fldCharType="end"/>
      </w:r>
      <w:r>
        <w:t xml:space="preserve"> we show the impact of handover of quality of service, measured by fraction of time communications with the UE is interrupted due to either handover events or radio link failures, respectively. </w:t>
      </w:r>
    </w:p>
    <w:p w14:paraId="71302897" w14:textId="6E793D17" w:rsidR="00EE1DB2" w:rsidRDefault="00EE1DB2" w:rsidP="00EF7957">
      <w:pPr>
        <w:pStyle w:val="B-Body"/>
        <w:ind w:left="0"/>
        <w:jc w:val="both"/>
      </w:pPr>
      <w:r>
        <w:t xml:space="preserve">As seen in </w:t>
      </w:r>
      <w:r>
        <w:fldChar w:fldCharType="begin"/>
      </w:r>
      <w:r w:rsidRPr="00F16116">
        <w:instrText xml:space="preserve"> REF _Ref473300326 \h \t \* \MERGEFORMAT </w:instrText>
      </w:r>
      <w:r>
        <w:fldChar w:fldCharType="separate"/>
      </w:r>
      <w:r w:rsidRPr="00F16116">
        <w:t xml:space="preserve">Figure </w:t>
      </w:r>
      <w:r w:rsidR="003921D5" w:rsidRPr="00F16116">
        <w:t>5</w:t>
      </w:r>
      <w:r>
        <w:fldChar w:fldCharType="end"/>
      </w:r>
      <w:r>
        <w:t xml:space="preserve">, drone UEs experience significantly less time in handover than ground UEs for all speeds other than 0 km/h. The handover rates are UE speed of 0 km/h are very small and this speed is not of primary interest for drone UEs. </w:t>
      </w:r>
    </w:p>
    <w:p w14:paraId="5F920D42" w14:textId="77BB5885" w:rsidR="00EE1DB2" w:rsidRDefault="00EE1DB2" w:rsidP="00EF7957">
      <w:pPr>
        <w:pStyle w:val="B-Body"/>
        <w:ind w:left="0"/>
        <w:jc w:val="both"/>
      </w:pPr>
      <w:r>
        <w:fldChar w:fldCharType="begin"/>
      </w:r>
      <w:r w:rsidRPr="00F16116">
        <w:instrText xml:space="preserve"> REF _Ref473300354 \h \t \* \MERGEFORMAT </w:instrText>
      </w:r>
      <w:r>
        <w:fldChar w:fldCharType="separate"/>
      </w:r>
      <w:r w:rsidRPr="00F16116">
        <w:t xml:space="preserve">Figure </w:t>
      </w:r>
      <w:r w:rsidR="003921D5" w:rsidRPr="00F16116">
        <w:t>6</w:t>
      </w:r>
      <w:r>
        <w:fldChar w:fldCharType="end"/>
      </w:r>
      <w:r>
        <w:t xml:space="preserve"> shows service interruption when signal quality drops below the </w:t>
      </w:r>
      <w:proofErr w:type="spellStart"/>
      <w:r>
        <w:t>Qout</w:t>
      </w:r>
      <w:proofErr w:type="spellEnd"/>
      <w:r>
        <w:t xml:space="preserve"> threshold, defined in 3GPP specs as SINR value of -8 </w:t>
      </w:r>
      <w:proofErr w:type="spellStart"/>
      <w:r>
        <w:t>dB.</w:t>
      </w:r>
      <w:proofErr w:type="spellEnd"/>
      <w:r>
        <w:t xml:space="preserve"> As shown, for all UE speeds whether they are on the ground or are drones at 50m and 120 m, these events are relatively infrequent.</w:t>
      </w:r>
    </w:p>
    <w:p w14:paraId="5E77C66E" w14:textId="6DA94E54" w:rsidR="007C0BD6" w:rsidRPr="00AD6DD4" w:rsidRDefault="007C0BD6" w:rsidP="00961E77">
      <w:pPr>
        <w:pStyle w:val="B-Body"/>
        <w:ind w:left="0"/>
        <w:rPr>
          <w:b/>
        </w:rPr>
      </w:pPr>
      <w:r>
        <w:br/>
      </w:r>
      <w:r w:rsidR="00841160" w:rsidRPr="00AD6DD4">
        <w:rPr>
          <w:b/>
          <w:u w:val="single"/>
        </w:rPr>
        <w:t>Observation 3</w:t>
      </w:r>
      <w:r w:rsidRPr="00AD6DD4">
        <w:rPr>
          <w:b/>
          <w:u w:val="single"/>
        </w:rPr>
        <w:t>:</w:t>
      </w:r>
      <w:r w:rsidRPr="00AD6DD4">
        <w:rPr>
          <w:b/>
        </w:rPr>
        <w:t xml:space="preserve"> </w:t>
      </w:r>
      <w:r w:rsidR="00841160" w:rsidRPr="00AD6DD4">
        <w:rPr>
          <w:b/>
        </w:rPr>
        <w:t>D</w:t>
      </w:r>
      <w:r w:rsidRPr="00AD6DD4">
        <w:rPr>
          <w:b/>
        </w:rPr>
        <w:t>rone UEs experienc</w:t>
      </w:r>
      <w:r w:rsidR="00841160" w:rsidRPr="00AD6DD4">
        <w:rPr>
          <w:b/>
        </w:rPr>
        <w:t>e</w:t>
      </w:r>
      <w:r w:rsidRPr="00AD6DD4">
        <w:rPr>
          <w:b/>
        </w:rPr>
        <w:t xml:space="preserve"> </w:t>
      </w:r>
      <w:r w:rsidR="00841160" w:rsidRPr="00AD6DD4">
        <w:rPr>
          <w:b/>
        </w:rPr>
        <w:t xml:space="preserve">less time in </w:t>
      </w:r>
      <w:proofErr w:type="spellStart"/>
      <w:r w:rsidRPr="00AD6DD4">
        <w:rPr>
          <w:b/>
        </w:rPr>
        <w:t>Qout</w:t>
      </w:r>
      <w:proofErr w:type="spellEnd"/>
      <w:r w:rsidR="00841160" w:rsidRPr="00AD6DD4">
        <w:rPr>
          <w:b/>
        </w:rPr>
        <w:t xml:space="preserve"> and HO</w:t>
      </w:r>
      <w:r w:rsidRPr="00AD6DD4">
        <w:rPr>
          <w:b/>
        </w:rPr>
        <w:t xml:space="preserve"> </w:t>
      </w:r>
      <w:r w:rsidR="00841160" w:rsidRPr="00AD6DD4">
        <w:rPr>
          <w:b/>
        </w:rPr>
        <w:t>than</w:t>
      </w:r>
      <w:r w:rsidR="0017207A" w:rsidRPr="00AD6DD4">
        <w:rPr>
          <w:b/>
        </w:rPr>
        <w:t xml:space="preserve"> ground based UE</w:t>
      </w:r>
      <w:r w:rsidRPr="00AD6DD4">
        <w:rPr>
          <w:b/>
        </w:rPr>
        <w:t>s.</w:t>
      </w:r>
    </w:p>
    <w:p w14:paraId="0113861B" w14:textId="77777777" w:rsidR="00EE1DB2" w:rsidRDefault="00EE1DB2" w:rsidP="00F16116">
      <w:pPr>
        <w:pStyle w:val="A-Anchor"/>
        <w:jc w:val="center"/>
        <w:rPr>
          <w:lang w:eastAsia="ja-JP"/>
        </w:rPr>
      </w:pPr>
      <w:r w:rsidRPr="00C66ADB">
        <w:rPr>
          <w:noProof/>
          <w:lang w:eastAsia="ja-JP"/>
        </w:rPr>
        <w:lastRenderedPageBreak/>
        <w:drawing>
          <wp:inline distT="0" distB="0" distL="0" distR="0" wp14:anchorId="1C4ECDCE" wp14:editId="163A2158">
            <wp:extent cx="3319272" cy="2615184"/>
            <wp:effectExtent l="0" t="0" r="0" b="0"/>
            <wp:docPr id="52"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8"/>
                    <pic:cNvPicPr>
                      <a:picLocks/>
                    </pic:cNvPicPr>
                  </pic:nvPicPr>
                  <pic:blipFill>
                    <a:blip r:embed="rId13">
                      <a:extLst>
                        <a:ext uri="{28A0092B-C50C-407E-A947-70E740481C1C}">
                          <a14:useLocalDpi xmlns:a14="http://schemas.microsoft.com/office/drawing/2010/main" val="0"/>
                        </a:ext>
                      </a:extLst>
                    </a:blip>
                    <a:stretch>
                      <a:fillRect/>
                    </a:stretch>
                  </pic:blipFill>
                  <pic:spPr>
                    <a:xfrm>
                      <a:off x="0" y="0"/>
                      <a:ext cx="3319272" cy="2615184"/>
                    </a:xfrm>
                    <a:prstGeom prst="rect">
                      <a:avLst/>
                    </a:prstGeom>
                  </pic:spPr>
                </pic:pic>
              </a:graphicData>
            </a:graphic>
          </wp:inline>
        </w:drawing>
      </w:r>
    </w:p>
    <w:p w14:paraId="650C6737" w14:textId="7318E66F" w:rsidR="00EE1DB2" w:rsidRDefault="00EE1DB2" w:rsidP="00F16116">
      <w:pPr>
        <w:pStyle w:val="F-FigureTitle"/>
        <w:jc w:val="center"/>
      </w:pPr>
      <w:bookmarkStart w:id="14" w:name="_Ref473300326"/>
      <w:bookmarkStart w:id="15" w:name="_Toc473295388"/>
      <w:bookmarkStart w:id="16" w:name="_Toc474155540"/>
      <w:r>
        <w:t xml:space="preserve">Figure </w:t>
      </w:r>
      <w:bookmarkEnd w:id="14"/>
      <w:r w:rsidR="003921D5">
        <w:t>5</w:t>
      </w:r>
      <w:r>
        <w:t xml:space="preserve"> Fraction of time in handover</w:t>
      </w:r>
      <w:bookmarkEnd w:id="15"/>
      <w:bookmarkEnd w:id="16"/>
    </w:p>
    <w:p w14:paraId="27E085AB" w14:textId="77777777" w:rsidR="00EE1DB2" w:rsidRDefault="00EE1DB2" w:rsidP="00F16116">
      <w:pPr>
        <w:pStyle w:val="A-Anchor"/>
        <w:jc w:val="center"/>
        <w:rPr>
          <w:lang w:eastAsia="ja-JP"/>
        </w:rPr>
      </w:pPr>
      <w:r w:rsidRPr="00C66ADB">
        <w:rPr>
          <w:noProof/>
          <w:lang w:eastAsia="ja-JP"/>
        </w:rPr>
        <w:drawing>
          <wp:inline distT="0" distB="0" distL="0" distR="0" wp14:anchorId="4F1DE7B6" wp14:editId="494F1A8B">
            <wp:extent cx="3319272" cy="2615184"/>
            <wp:effectExtent l="0" t="0" r="0" b="0"/>
            <wp:docPr id="53"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Picture 9"/>
                    <pic:cNvPicPr>
                      <a:picLocks/>
                    </pic:cNvPicPr>
                  </pic:nvPicPr>
                  <pic:blipFill>
                    <a:blip r:embed="rId14">
                      <a:extLst>
                        <a:ext uri="{28A0092B-C50C-407E-A947-70E740481C1C}">
                          <a14:useLocalDpi xmlns:a14="http://schemas.microsoft.com/office/drawing/2010/main" val="0"/>
                        </a:ext>
                      </a:extLst>
                    </a:blip>
                    <a:stretch>
                      <a:fillRect/>
                    </a:stretch>
                  </pic:blipFill>
                  <pic:spPr>
                    <a:xfrm>
                      <a:off x="0" y="0"/>
                      <a:ext cx="3319272" cy="2615184"/>
                    </a:xfrm>
                    <a:prstGeom prst="rect">
                      <a:avLst/>
                    </a:prstGeom>
                  </pic:spPr>
                </pic:pic>
              </a:graphicData>
            </a:graphic>
          </wp:inline>
        </w:drawing>
      </w:r>
    </w:p>
    <w:p w14:paraId="6B74CA82" w14:textId="68556256" w:rsidR="00EE1DB2" w:rsidRDefault="00EE1DB2" w:rsidP="00F16116">
      <w:pPr>
        <w:pStyle w:val="F-FigureTitle"/>
        <w:jc w:val="center"/>
      </w:pPr>
      <w:bookmarkStart w:id="17" w:name="_Ref473300354"/>
      <w:bookmarkStart w:id="18" w:name="_Toc473295389"/>
      <w:bookmarkStart w:id="19" w:name="_Toc474155541"/>
      <w:r>
        <w:t xml:space="preserve">Figure </w:t>
      </w:r>
      <w:bookmarkEnd w:id="17"/>
      <w:r w:rsidR="003921D5">
        <w:t>6</w:t>
      </w:r>
      <w:r>
        <w:t xml:space="preserve"> Fraction of time in </w:t>
      </w:r>
      <w:proofErr w:type="spellStart"/>
      <w:r>
        <w:t>Qout</w:t>
      </w:r>
      <w:proofErr w:type="spellEnd"/>
      <w:r>
        <w:t xml:space="preserve"> state</w:t>
      </w:r>
      <w:bookmarkEnd w:id="18"/>
      <w:bookmarkEnd w:id="19"/>
    </w:p>
    <w:p w14:paraId="7A89D1D0" w14:textId="3BDF5C9A" w:rsidR="00EE1DB2" w:rsidRDefault="00EE1DB2" w:rsidP="007C0BD6">
      <w:pPr>
        <w:pStyle w:val="B-Body"/>
        <w:keepNext/>
        <w:keepLines/>
        <w:ind w:left="0"/>
      </w:pPr>
      <w:r>
        <w:t xml:space="preserve">In </w:t>
      </w:r>
      <w:r>
        <w:fldChar w:fldCharType="begin"/>
      </w:r>
      <w:r w:rsidRPr="00F16116">
        <w:instrText xml:space="preserve"> REF _Ref473300375 \h \t \* \MERGEFORMAT </w:instrText>
      </w:r>
      <w:r>
        <w:fldChar w:fldCharType="separate"/>
      </w:r>
      <w:r w:rsidRPr="00F16116">
        <w:t xml:space="preserve">Figure </w:t>
      </w:r>
      <w:r w:rsidR="003921D5" w:rsidRPr="00F16116">
        <w:t>7</w:t>
      </w:r>
      <w:r>
        <w:fldChar w:fldCharType="end"/>
      </w:r>
      <w:r>
        <w:t xml:space="preserve"> and </w:t>
      </w:r>
      <w:r>
        <w:fldChar w:fldCharType="begin"/>
      </w:r>
      <w:r w:rsidRPr="00F16116">
        <w:instrText xml:space="preserve"> REF _Ref473300385 \h \t \* \MERGEFORMAT </w:instrText>
      </w:r>
      <w:r>
        <w:fldChar w:fldCharType="separate"/>
      </w:r>
      <w:r w:rsidRPr="00F16116">
        <w:t xml:space="preserve">Figure </w:t>
      </w:r>
      <w:r w:rsidR="003921D5" w:rsidRPr="00F16116">
        <w:t>8</w:t>
      </w:r>
      <w:r>
        <w:fldChar w:fldCharType="end"/>
      </w:r>
      <w:r>
        <w:t xml:space="preserve">, we show another view on the service interruption statistics. </w:t>
      </w:r>
    </w:p>
    <w:p w14:paraId="14430AAE" w14:textId="4C11C379" w:rsidR="00EE1DB2" w:rsidRDefault="00EE1DB2" w:rsidP="007C0BD6">
      <w:pPr>
        <w:pStyle w:val="B-Body"/>
        <w:keepNext/>
        <w:keepLines/>
        <w:ind w:left="0"/>
      </w:pPr>
      <w:r>
        <w:fldChar w:fldCharType="begin"/>
      </w:r>
      <w:r w:rsidRPr="00F16116">
        <w:instrText xml:space="preserve"> REF _Ref473300375 \h \t \* \MERGEFORMAT </w:instrText>
      </w:r>
      <w:r>
        <w:fldChar w:fldCharType="separate"/>
      </w:r>
      <w:r w:rsidRPr="00F16116">
        <w:t xml:space="preserve">Figure </w:t>
      </w:r>
      <w:r w:rsidR="003921D5" w:rsidRPr="00F16116">
        <w:t>7</w:t>
      </w:r>
      <w:r>
        <w:fldChar w:fldCharType="end"/>
      </w:r>
      <w:r>
        <w:t xml:space="preserve"> illustrates the fraction of time service interruption was caused by handover.</w:t>
      </w:r>
    </w:p>
    <w:p w14:paraId="6AFD8143" w14:textId="33C3E73B" w:rsidR="00EE1DB2" w:rsidRDefault="00EE1DB2" w:rsidP="00EF7957">
      <w:pPr>
        <w:pStyle w:val="B-Body"/>
        <w:keepNext/>
        <w:keepLines/>
        <w:ind w:left="0"/>
        <w:jc w:val="both"/>
        <w:rPr>
          <w:lang w:eastAsia="ja-JP"/>
        </w:rPr>
      </w:pPr>
      <w:r>
        <w:fldChar w:fldCharType="begin"/>
      </w:r>
      <w:r w:rsidRPr="00F16116">
        <w:instrText xml:space="preserve"> REF _Ref473300385 \h \t \* \MERGEFORMAT </w:instrText>
      </w:r>
      <w:r>
        <w:fldChar w:fldCharType="separate"/>
      </w:r>
      <w:r w:rsidRPr="00F16116">
        <w:t xml:space="preserve">Figure </w:t>
      </w:r>
      <w:r w:rsidR="003921D5" w:rsidRPr="00F16116">
        <w:t>8</w:t>
      </w:r>
      <w:r>
        <w:fldChar w:fldCharType="end"/>
      </w:r>
      <w:r>
        <w:t xml:space="preserve"> illustrates</w:t>
      </w:r>
      <w:r>
        <w:rPr>
          <w:lang w:eastAsia="ja-JP"/>
        </w:rPr>
        <w:t xml:space="preserve"> the fraction of time service interruption was caused by radio link failure event and therefore triggered radio link reestablishment procedure. </w:t>
      </w:r>
    </w:p>
    <w:p w14:paraId="6B4D5DC6" w14:textId="23AD689E" w:rsidR="004B387C" w:rsidRPr="00AD6DD4" w:rsidRDefault="004B387C" w:rsidP="00EF7957">
      <w:pPr>
        <w:pStyle w:val="B-Body"/>
        <w:keepNext/>
        <w:keepLines/>
        <w:ind w:left="0"/>
        <w:jc w:val="both"/>
        <w:rPr>
          <w:b/>
          <w:lang w:eastAsia="ja-JP"/>
        </w:rPr>
      </w:pPr>
      <w:r>
        <w:rPr>
          <w:lang w:eastAsia="ja-JP"/>
        </w:rPr>
        <w:br/>
      </w:r>
      <w:r w:rsidR="00841160" w:rsidRPr="00AD6DD4">
        <w:rPr>
          <w:b/>
          <w:u w:val="single"/>
        </w:rPr>
        <w:t>Observation 4</w:t>
      </w:r>
      <w:r w:rsidRPr="00AD6DD4">
        <w:rPr>
          <w:b/>
          <w:u w:val="single"/>
        </w:rPr>
        <w:t>:</w:t>
      </w:r>
      <w:r>
        <w:t xml:space="preserve"> </w:t>
      </w:r>
      <w:r w:rsidR="00841160" w:rsidRPr="00AD6DD4">
        <w:rPr>
          <w:b/>
        </w:rPr>
        <w:t>D</w:t>
      </w:r>
      <w:r w:rsidRPr="00AD6DD4">
        <w:rPr>
          <w:b/>
        </w:rPr>
        <w:t xml:space="preserve">rone UEs </w:t>
      </w:r>
      <w:r w:rsidR="00841160" w:rsidRPr="00AD6DD4">
        <w:rPr>
          <w:b/>
        </w:rPr>
        <w:t xml:space="preserve">are less likely to suffer from handover interruption and re-establishment interruption than </w:t>
      </w:r>
      <w:r w:rsidRPr="00AD6DD4">
        <w:rPr>
          <w:b/>
        </w:rPr>
        <w:t>ground based UEs.</w:t>
      </w:r>
    </w:p>
    <w:p w14:paraId="1A54CF31" w14:textId="77777777" w:rsidR="00EE1DB2" w:rsidRDefault="00EE1DB2" w:rsidP="00EF7957">
      <w:pPr>
        <w:pStyle w:val="B-Body"/>
        <w:keepNext/>
        <w:keepLines/>
        <w:ind w:left="0"/>
        <w:jc w:val="both"/>
        <w:rPr>
          <w:lang w:eastAsia="ja-JP"/>
        </w:rPr>
      </w:pPr>
      <w:r>
        <w:rPr>
          <w:lang w:eastAsia="ja-JP"/>
        </w:rPr>
        <w:t>As shown, there is a noticeable fraction of interruptions caused by radio link failure events</w:t>
      </w:r>
      <w:r w:rsidRPr="008321DA">
        <w:rPr>
          <w:lang w:eastAsia="ja-JP"/>
        </w:rPr>
        <w:t xml:space="preserve"> </w:t>
      </w:r>
      <w:r>
        <w:rPr>
          <w:lang w:eastAsia="ja-JP"/>
        </w:rPr>
        <w:t>only at high speeds.</w:t>
      </w:r>
    </w:p>
    <w:p w14:paraId="429D5B59" w14:textId="77777777" w:rsidR="00EE1DB2" w:rsidRDefault="00EE1DB2" w:rsidP="00EE1DB2">
      <w:pPr>
        <w:pStyle w:val="B-Body"/>
      </w:pPr>
    </w:p>
    <w:p w14:paraId="29C6494A" w14:textId="77777777" w:rsidR="00EE1DB2" w:rsidRDefault="00EE1DB2" w:rsidP="00F16116">
      <w:pPr>
        <w:pStyle w:val="A-Anchor"/>
        <w:jc w:val="center"/>
        <w:rPr>
          <w:lang w:eastAsia="ja-JP"/>
        </w:rPr>
      </w:pPr>
      <w:r w:rsidRPr="00C66ADB">
        <w:rPr>
          <w:noProof/>
          <w:lang w:eastAsia="ja-JP"/>
        </w:rPr>
        <w:lastRenderedPageBreak/>
        <w:drawing>
          <wp:inline distT="0" distB="0" distL="0" distR="0" wp14:anchorId="7ABA0FC6" wp14:editId="4EFC117F">
            <wp:extent cx="3319272" cy="2615184"/>
            <wp:effectExtent l="0" t="0" r="0" b="0"/>
            <wp:docPr id="54"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Picture 9"/>
                    <pic:cNvPicPr>
                      <a:picLocks/>
                    </pic:cNvPicPr>
                  </pic:nvPicPr>
                  <pic:blipFill>
                    <a:blip r:embed="rId15">
                      <a:extLst>
                        <a:ext uri="{28A0092B-C50C-407E-A947-70E740481C1C}">
                          <a14:useLocalDpi xmlns:a14="http://schemas.microsoft.com/office/drawing/2010/main" val="0"/>
                        </a:ext>
                      </a:extLst>
                    </a:blip>
                    <a:stretch>
                      <a:fillRect/>
                    </a:stretch>
                  </pic:blipFill>
                  <pic:spPr>
                    <a:xfrm>
                      <a:off x="0" y="0"/>
                      <a:ext cx="3319272" cy="2615184"/>
                    </a:xfrm>
                    <a:prstGeom prst="rect">
                      <a:avLst/>
                    </a:prstGeom>
                  </pic:spPr>
                </pic:pic>
              </a:graphicData>
            </a:graphic>
          </wp:inline>
        </w:drawing>
      </w:r>
    </w:p>
    <w:p w14:paraId="36F65B33" w14:textId="00FEE53B" w:rsidR="00EE1DB2" w:rsidRDefault="00EE1DB2" w:rsidP="00F16116">
      <w:pPr>
        <w:pStyle w:val="F-FigureTitle"/>
        <w:jc w:val="center"/>
      </w:pPr>
      <w:bookmarkStart w:id="20" w:name="_Ref473300375"/>
      <w:bookmarkStart w:id="21" w:name="_Toc473295390"/>
      <w:bookmarkStart w:id="22" w:name="_Toc474155542"/>
      <w:r>
        <w:t xml:space="preserve">Figure </w:t>
      </w:r>
      <w:fldSimple w:instr=" SEQ Figure \* ARABIC \s 1 ">
        <w:r w:rsidR="003921D5">
          <w:rPr>
            <w:noProof/>
          </w:rPr>
          <w:t>7</w:t>
        </w:r>
      </w:fldSimple>
      <w:bookmarkEnd w:id="20"/>
      <w:r>
        <w:t xml:space="preserve"> Likelihood of handover interruption</w:t>
      </w:r>
      <w:bookmarkEnd w:id="21"/>
      <w:bookmarkEnd w:id="22"/>
    </w:p>
    <w:p w14:paraId="4DACB085" w14:textId="77777777" w:rsidR="00F16116" w:rsidRDefault="00F16116" w:rsidP="00F16116">
      <w:pPr>
        <w:pStyle w:val="F-FigureTitle"/>
        <w:jc w:val="center"/>
      </w:pPr>
    </w:p>
    <w:p w14:paraId="241579AA" w14:textId="77777777" w:rsidR="00EE1DB2" w:rsidRDefault="00EE1DB2" w:rsidP="00F16116">
      <w:pPr>
        <w:pStyle w:val="A-Anchor"/>
        <w:jc w:val="center"/>
        <w:rPr>
          <w:lang w:eastAsia="ja-JP"/>
        </w:rPr>
      </w:pPr>
      <w:r w:rsidRPr="00C66ADB">
        <w:rPr>
          <w:noProof/>
          <w:lang w:eastAsia="ja-JP"/>
        </w:rPr>
        <w:drawing>
          <wp:inline distT="0" distB="0" distL="0" distR="0" wp14:anchorId="373804A3" wp14:editId="7B16B056">
            <wp:extent cx="3319272" cy="2615184"/>
            <wp:effectExtent l="0" t="0" r="0" b="0"/>
            <wp:docPr id="55"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Picture 10"/>
                    <pic:cNvPicPr>
                      <a:picLocks/>
                    </pic:cNvPicPr>
                  </pic:nvPicPr>
                  <pic:blipFill>
                    <a:blip r:embed="rId16">
                      <a:extLst>
                        <a:ext uri="{28A0092B-C50C-407E-A947-70E740481C1C}">
                          <a14:useLocalDpi xmlns:a14="http://schemas.microsoft.com/office/drawing/2010/main" val="0"/>
                        </a:ext>
                      </a:extLst>
                    </a:blip>
                    <a:stretch>
                      <a:fillRect/>
                    </a:stretch>
                  </pic:blipFill>
                  <pic:spPr>
                    <a:xfrm>
                      <a:off x="0" y="0"/>
                      <a:ext cx="3319272" cy="2615184"/>
                    </a:xfrm>
                    <a:prstGeom prst="rect">
                      <a:avLst/>
                    </a:prstGeom>
                  </pic:spPr>
                </pic:pic>
              </a:graphicData>
            </a:graphic>
          </wp:inline>
        </w:drawing>
      </w:r>
    </w:p>
    <w:p w14:paraId="1C640BCE" w14:textId="3770E49B" w:rsidR="00EE1DB2" w:rsidRPr="003921D5" w:rsidRDefault="00EE1DB2" w:rsidP="00F16116">
      <w:pPr>
        <w:ind w:firstLine="720"/>
        <w:jc w:val="center"/>
        <w:rPr>
          <w:rFonts w:ascii="Arial" w:eastAsia="SimHei" w:hAnsi="Arial" w:cs="Arial"/>
          <w:b/>
          <w:sz w:val="22"/>
          <w:lang w:val="en-US"/>
        </w:rPr>
      </w:pPr>
      <w:bookmarkStart w:id="23" w:name="_Ref473300385"/>
      <w:bookmarkStart w:id="24" w:name="_Toc473295391"/>
      <w:bookmarkStart w:id="25" w:name="_Toc474155543"/>
      <w:r w:rsidRPr="003921D5">
        <w:rPr>
          <w:rFonts w:ascii="Arial" w:eastAsia="SimHei" w:hAnsi="Arial" w:cs="Arial"/>
          <w:b/>
          <w:sz w:val="22"/>
          <w:lang w:val="en-US"/>
        </w:rPr>
        <w:t xml:space="preserve">Figure </w:t>
      </w:r>
      <w:bookmarkEnd w:id="23"/>
      <w:r w:rsidR="003921D5" w:rsidRPr="003921D5">
        <w:rPr>
          <w:rFonts w:ascii="Arial" w:eastAsia="SimHei" w:hAnsi="Arial" w:cs="Arial"/>
          <w:b/>
          <w:sz w:val="22"/>
          <w:lang w:val="en-US"/>
        </w:rPr>
        <w:t>8</w:t>
      </w:r>
      <w:r w:rsidRPr="003921D5">
        <w:rPr>
          <w:rFonts w:ascii="Arial" w:eastAsia="SimHei" w:hAnsi="Arial" w:cs="Arial"/>
          <w:b/>
          <w:sz w:val="22"/>
          <w:lang w:val="en-US"/>
        </w:rPr>
        <w:t xml:space="preserve"> Likelihood of link re-establishment interruption</w:t>
      </w:r>
      <w:bookmarkEnd w:id="24"/>
      <w:bookmarkEnd w:id="25"/>
    </w:p>
    <w:p w14:paraId="5CBBA675" w14:textId="77777777" w:rsidR="00EE1DB2" w:rsidRDefault="00EE1DB2" w:rsidP="00F16116">
      <w:pPr>
        <w:jc w:val="center"/>
        <w:rPr>
          <w:b/>
        </w:rPr>
      </w:pPr>
    </w:p>
    <w:p w14:paraId="53524841" w14:textId="1A0DB79A" w:rsidR="00F9749E" w:rsidRDefault="00F9749E" w:rsidP="00ED4A2B">
      <w:pPr>
        <w:pStyle w:val="Heading1"/>
        <w:numPr>
          <w:ilvl w:val="0"/>
          <w:numId w:val="2"/>
        </w:numPr>
      </w:pPr>
      <w:r>
        <w:t>Conclusion</w:t>
      </w:r>
    </w:p>
    <w:p w14:paraId="30CFE7AF" w14:textId="08F46F56" w:rsidR="00FF2888" w:rsidRPr="0017207A" w:rsidRDefault="00E8280A" w:rsidP="00FF2888">
      <w:pPr>
        <w:jc w:val="both"/>
        <w:rPr>
          <w:sz w:val="22"/>
        </w:rPr>
      </w:pPr>
      <w:r w:rsidRPr="0017207A">
        <w:rPr>
          <w:sz w:val="22"/>
        </w:rPr>
        <w:t xml:space="preserve">In this </w:t>
      </w:r>
      <w:r w:rsidR="00F16116" w:rsidRPr="0017207A">
        <w:rPr>
          <w:sz w:val="22"/>
        </w:rPr>
        <w:t>contribution,</w:t>
      </w:r>
      <w:r w:rsidR="000A49C8" w:rsidRPr="0017207A">
        <w:rPr>
          <w:sz w:val="22"/>
        </w:rPr>
        <w:t xml:space="preserve"> we made the following </w:t>
      </w:r>
      <w:r w:rsidRPr="0017207A">
        <w:rPr>
          <w:sz w:val="22"/>
        </w:rPr>
        <w:t>observa</w:t>
      </w:r>
      <w:r w:rsidR="0017207A" w:rsidRPr="0017207A">
        <w:rPr>
          <w:sz w:val="22"/>
        </w:rPr>
        <w:t>tions on mobility performance of drone UEs:</w:t>
      </w:r>
    </w:p>
    <w:p w14:paraId="245FF9AE" w14:textId="77777777" w:rsidR="0017207A" w:rsidRDefault="0017207A" w:rsidP="00FF2888">
      <w:pPr>
        <w:jc w:val="both"/>
      </w:pPr>
    </w:p>
    <w:p w14:paraId="3D83189A" w14:textId="77777777" w:rsidR="0017207A" w:rsidRPr="00AD6DD4" w:rsidRDefault="0017207A" w:rsidP="0017207A">
      <w:pPr>
        <w:jc w:val="both"/>
        <w:rPr>
          <w:b/>
          <w:sz w:val="22"/>
        </w:rPr>
      </w:pPr>
      <w:r w:rsidRPr="00AD6DD4">
        <w:rPr>
          <w:b/>
          <w:sz w:val="22"/>
          <w:u w:val="single"/>
        </w:rPr>
        <w:t>Observation 1:</w:t>
      </w:r>
      <w:r w:rsidRPr="00F16116">
        <w:rPr>
          <w:sz w:val="22"/>
        </w:rPr>
        <w:t xml:space="preserve"> </w:t>
      </w:r>
      <w:r w:rsidRPr="00AD6DD4">
        <w:rPr>
          <w:b/>
          <w:sz w:val="22"/>
        </w:rPr>
        <w:t>Drone UEs experience less handovers than ground based UEs.</w:t>
      </w:r>
    </w:p>
    <w:p w14:paraId="3488AEC1" w14:textId="77777777" w:rsidR="0017207A" w:rsidRPr="00AD6DD4" w:rsidRDefault="0017207A" w:rsidP="0017207A">
      <w:pPr>
        <w:pStyle w:val="B-Body"/>
        <w:keepNext/>
        <w:ind w:left="0"/>
        <w:rPr>
          <w:b/>
        </w:rPr>
      </w:pPr>
      <w:r w:rsidRPr="00AD6DD4">
        <w:rPr>
          <w:b/>
          <w:u w:val="single"/>
        </w:rPr>
        <w:lastRenderedPageBreak/>
        <w:t>Observation 2:</w:t>
      </w:r>
      <w:r w:rsidRPr="00F16116">
        <w:rPr>
          <w:b/>
        </w:rPr>
        <w:t xml:space="preserve"> </w:t>
      </w:r>
      <w:r w:rsidRPr="00AD6DD4">
        <w:rPr>
          <w:b/>
        </w:rPr>
        <w:t>Drone UEs experience less radio link failures than ground based UEs.</w:t>
      </w:r>
    </w:p>
    <w:p w14:paraId="10FA4DF9" w14:textId="7D335E76" w:rsidR="0017207A" w:rsidRPr="00AD6DD4" w:rsidRDefault="0017207A" w:rsidP="00FF2888">
      <w:pPr>
        <w:jc w:val="both"/>
        <w:rPr>
          <w:b/>
          <w:sz w:val="21"/>
        </w:rPr>
      </w:pPr>
      <w:r>
        <w:rPr>
          <w:b/>
          <w:sz w:val="21"/>
        </w:rPr>
        <w:br/>
      </w:r>
      <w:r w:rsidRPr="00AD6DD4">
        <w:rPr>
          <w:b/>
          <w:sz w:val="22"/>
          <w:u w:val="single"/>
        </w:rPr>
        <w:t>Observation 3:</w:t>
      </w:r>
      <w:r w:rsidRPr="00AD6DD4">
        <w:rPr>
          <w:b/>
          <w:sz w:val="22"/>
        </w:rPr>
        <w:t xml:space="preserve"> Drone UEs experience less time in </w:t>
      </w:r>
      <w:proofErr w:type="spellStart"/>
      <w:r w:rsidRPr="00AD6DD4">
        <w:rPr>
          <w:b/>
          <w:sz w:val="22"/>
        </w:rPr>
        <w:t>Qout</w:t>
      </w:r>
      <w:proofErr w:type="spellEnd"/>
      <w:r w:rsidRPr="00AD6DD4">
        <w:rPr>
          <w:b/>
          <w:sz w:val="22"/>
        </w:rPr>
        <w:t xml:space="preserve"> and HO than ground based UEs.</w:t>
      </w:r>
    </w:p>
    <w:p w14:paraId="22C1FAE5" w14:textId="06C2E0B6" w:rsidR="0017207A" w:rsidRPr="00AD6DD4" w:rsidRDefault="0017207A" w:rsidP="00FF2888">
      <w:pPr>
        <w:jc w:val="both"/>
        <w:rPr>
          <w:b/>
          <w:sz w:val="24"/>
          <w:lang w:val="en-US"/>
        </w:rPr>
      </w:pPr>
      <w:r w:rsidRPr="00AD6DD4">
        <w:rPr>
          <w:b/>
          <w:sz w:val="22"/>
          <w:u w:val="single"/>
        </w:rPr>
        <w:t>Observation 4:</w:t>
      </w:r>
      <w:bookmarkStart w:id="26" w:name="_GoBack"/>
      <w:r w:rsidRPr="00AD6DD4">
        <w:rPr>
          <w:b/>
          <w:sz w:val="22"/>
        </w:rPr>
        <w:t xml:space="preserve"> Drone UEs are less likely to suffer from handover interruption and re-establishment interruption than ground based UEs.</w:t>
      </w:r>
    </w:p>
    <w:bookmarkEnd w:id="26"/>
    <w:p w14:paraId="32F7E829" w14:textId="587669B0" w:rsidR="00CB1C5B" w:rsidRPr="00986956" w:rsidRDefault="00CB1C5B" w:rsidP="00CB1C5B">
      <w:pPr>
        <w:pStyle w:val="Heading1"/>
        <w:rPr>
          <w:lang w:val="en-US"/>
        </w:rPr>
      </w:pPr>
      <w:r w:rsidRPr="00986956">
        <w:rPr>
          <w:lang w:val="en-US"/>
        </w:rPr>
        <w:t>References</w:t>
      </w:r>
    </w:p>
    <w:p w14:paraId="54538AB5" w14:textId="43D20761" w:rsidR="00930A51" w:rsidRPr="004D084A" w:rsidRDefault="00EF6D59" w:rsidP="00CD1009">
      <w:pPr>
        <w:numPr>
          <w:ilvl w:val="0"/>
          <w:numId w:val="1"/>
        </w:numPr>
        <w:spacing w:after="0"/>
      </w:pPr>
      <w:r>
        <w:rPr>
          <w:bCs/>
          <w:shd w:val="clear" w:color="auto" w:fill="FFFFFF"/>
        </w:rPr>
        <w:t xml:space="preserve">RAN </w:t>
      </w:r>
      <w:r w:rsidRPr="00AF6927">
        <w:rPr>
          <w:bCs/>
          <w:shd w:val="clear" w:color="auto" w:fill="FFFFFF"/>
        </w:rPr>
        <w:t>SID on Enhanced Support for Aerial Vehicles</w:t>
      </w:r>
      <w:r w:rsidRPr="00CD1009">
        <w:rPr>
          <w:bCs/>
          <w:shd w:val="clear" w:color="auto" w:fill="FFFFFF"/>
        </w:rPr>
        <w:t xml:space="preserve"> </w:t>
      </w:r>
      <w:r w:rsidR="00CD1009" w:rsidRPr="00CD1009">
        <w:rPr>
          <w:bCs/>
          <w:shd w:val="clear" w:color="auto" w:fill="FFFFFF"/>
        </w:rPr>
        <w:t xml:space="preserve">in </w:t>
      </w:r>
      <w:hyperlink r:id="rId17" w:history="1">
        <w:r w:rsidR="00CD1009" w:rsidRPr="00CD1009">
          <w:rPr>
            <w:rStyle w:val="Hyperlink"/>
            <w:shd w:val="clear" w:color="auto" w:fill="FFFFFF"/>
          </w:rPr>
          <w:t>RP-170779</w:t>
        </w:r>
      </w:hyperlink>
    </w:p>
    <w:p w14:paraId="6E3C735B" w14:textId="45C358F9" w:rsidR="004D084A" w:rsidRDefault="004D084A" w:rsidP="004D084A">
      <w:pPr>
        <w:numPr>
          <w:ilvl w:val="0"/>
          <w:numId w:val="1"/>
        </w:numPr>
        <w:spacing w:after="0"/>
      </w:pPr>
      <w:r>
        <w:t xml:space="preserve">TS 36.331, </w:t>
      </w:r>
      <w:r w:rsidRPr="004D084A">
        <w:t>Evolved Universal Terrestrial Radio Access (E-UTRA); Radio Resource Control (RRC); Protocol specification</w:t>
      </w:r>
    </w:p>
    <w:p w14:paraId="723919E7" w14:textId="76ACA9F6" w:rsidR="004745CB" w:rsidRDefault="004745CB" w:rsidP="004745CB">
      <w:pPr>
        <w:numPr>
          <w:ilvl w:val="0"/>
          <w:numId w:val="1"/>
        </w:numPr>
        <w:spacing w:after="0"/>
      </w:pPr>
      <w:r w:rsidRPr="0017207A">
        <w:t>R1-17</w:t>
      </w:r>
      <w:r w:rsidR="0017207A">
        <w:t>05026</w:t>
      </w:r>
      <w:r>
        <w:t xml:space="preserve">, </w:t>
      </w:r>
      <w:r w:rsidRPr="004745CB">
        <w:t>System level performance and interference mitigation techniques for aerial vehicles</w:t>
      </w:r>
      <w:r>
        <w:t>, Qualcomm Incorporated</w:t>
      </w:r>
    </w:p>
    <w:p w14:paraId="77EE3759" w14:textId="46D8FD12" w:rsidR="00CB51F8" w:rsidRDefault="00CB51F8" w:rsidP="00816C11">
      <w:pPr>
        <w:overflowPunct/>
        <w:autoSpaceDE/>
        <w:autoSpaceDN/>
        <w:adjustRightInd/>
        <w:spacing w:after="0"/>
        <w:textAlignment w:val="auto"/>
        <w:rPr>
          <w:lang w:eastAsia="ko-KR"/>
        </w:rPr>
      </w:pPr>
    </w:p>
    <w:sectPr w:rsidR="00CB5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abstractNumId w:val="0"/>
  </w:num>
  <w:num w:numId="2">
    <w:abstractNumId w:val="2"/>
  </w:num>
  <w:num w:numId="3">
    <w:abstractNumId w:val="1"/>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4C7"/>
    <w:rsid w:val="00024C64"/>
    <w:rsid w:val="00024D2F"/>
    <w:rsid w:val="00030B16"/>
    <w:rsid w:val="00030BC2"/>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39B"/>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4BF3"/>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207A"/>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1F7051"/>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A2B"/>
    <w:rsid w:val="00366BB9"/>
    <w:rsid w:val="003730D7"/>
    <w:rsid w:val="00381CA0"/>
    <w:rsid w:val="003921D5"/>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5CB"/>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B387C"/>
    <w:rsid w:val="004C0ECC"/>
    <w:rsid w:val="004C129B"/>
    <w:rsid w:val="004C228D"/>
    <w:rsid w:val="004C28A4"/>
    <w:rsid w:val="004C3BF5"/>
    <w:rsid w:val="004C4B23"/>
    <w:rsid w:val="004D084A"/>
    <w:rsid w:val="004D1403"/>
    <w:rsid w:val="004D1BA4"/>
    <w:rsid w:val="004D27BF"/>
    <w:rsid w:val="004D4D04"/>
    <w:rsid w:val="004E4D46"/>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04B6"/>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125"/>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0BD6"/>
    <w:rsid w:val="007D10BD"/>
    <w:rsid w:val="007D26D6"/>
    <w:rsid w:val="007D3F6C"/>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160"/>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B7004"/>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47C83"/>
    <w:rsid w:val="00951364"/>
    <w:rsid w:val="00953C42"/>
    <w:rsid w:val="009550DE"/>
    <w:rsid w:val="00961399"/>
    <w:rsid w:val="00961E77"/>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D6DD4"/>
    <w:rsid w:val="00AE13C9"/>
    <w:rsid w:val="00AE25F2"/>
    <w:rsid w:val="00AE2CCB"/>
    <w:rsid w:val="00AE2EBA"/>
    <w:rsid w:val="00AE3869"/>
    <w:rsid w:val="00AE4FE5"/>
    <w:rsid w:val="00AE59DC"/>
    <w:rsid w:val="00AE5B2D"/>
    <w:rsid w:val="00AE5C04"/>
    <w:rsid w:val="00AE63BF"/>
    <w:rsid w:val="00AF52CB"/>
    <w:rsid w:val="00AF675A"/>
    <w:rsid w:val="00AF68D7"/>
    <w:rsid w:val="00B00B2F"/>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32C7C"/>
    <w:rsid w:val="00B35280"/>
    <w:rsid w:val="00B35A25"/>
    <w:rsid w:val="00B36410"/>
    <w:rsid w:val="00B36C9C"/>
    <w:rsid w:val="00B375E9"/>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5386"/>
    <w:rsid w:val="00BB7D99"/>
    <w:rsid w:val="00BC0881"/>
    <w:rsid w:val="00BC5F8F"/>
    <w:rsid w:val="00BC691C"/>
    <w:rsid w:val="00BD0156"/>
    <w:rsid w:val="00BD1677"/>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50BB"/>
    <w:rsid w:val="00CE7978"/>
    <w:rsid w:val="00CE7E49"/>
    <w:rsid w:val="00CF7360"/>
    <w:rsid w:val="00D00568"/>
    <w:rsid w:val="00D01A62"/>
    <w:rsid w:val="00D0269A"/>
    <w:rsid w:val="00D05AA5"/>
    <w:rsid w:val="00D105DF"/>
    <w:rsid w:val="00D124FC"/>
    <w:rsid w:val="00D14143"/>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7B3"/>
    <w:rsid w:val="00D518E6"/>
    <w:rsid w:val="00D57CA5"/>
    <w:rsid w:val="00D57E7A"/>
    <w:rsid w:val="00D60EDE"/>
    <w:rsid w:val="00D622E8"/>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06B7"/>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1DB2"/>
    <w:rsid w:val="00EE3ADF"/>
    <w:rsid w:val="00EE50ED"/>
    <w:rsid w:val="00EE6D3A"/>
    <w:rsid w:val="00EE74FE"/>
    <w:rsid w:val="00EE7A94"/>
    <w:rsid w:val="00EF37DA"/>
    <w:rsid w:val="00EF3BA8"/>
    <w:rsid w:val="00EF3CFD"/>
    <w:rsid w:val="00EF6D59"/>
    <w:rsid w:val="00EF7957"/>
    <w:rsid w:val="00F017E8"/>
    <w:rsid w:val="00F0524A"/>
    <w:rsid w:val="00F12D23"/>
    <w:rsid w:val="00F14CFB"/>
    <w:rsid w:val="00F16116"/>
    <w:rsid w:val="00F167A8"/>
    <w:rsid w:val="00F16DAA"/>
    <w:rsid w:val="00F208CA"/>
    <w:rsid w:val="00F21225"/>
    <w:rsid w:val="00F225A8"/>
    <w:rsid w:val="00F2389B"/>
    <w:rsid w:val="00F23F73"/>
    <w:rsid w:val="00F2462E"/>
    <w:rsid w:val="00F25D9B"/>
    <w:rsid w:val="00F26D98"/>
    <w:rsid w:val="00F30783"/>
    <w:rsid w:val="00F32A69"/>
    <w:rsid w:val="00F337F3"/>
    <w:rsid w:val="00F356B4"/>
    <w:rsid w:val="00F35BD9"/>
    <w:rsid w:val="00F3611E"/>
    <w:rsid w:val="00F36575"/>
    <w:rsid w:val="00F37FEE"/>
    <w:rsid w:val="00F44FC0"/>
    <w:rsid w:val="00F471C8"/>
    <w:rsid w:val="00F510F4"/>
    <w:rsid w:val="00F523D0"/>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E2FE7"/>
    <w:rsid w:val="00FE4049"/>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07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4"/>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hyperlink" Target="http://www.3gpp.org/ftp/tsg_ran/TSG_RAN/TSGR_75/Docs/RP-170779.zip" TargetMode="Externa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image" Target="media/image5.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09089B61-E094-4AB9-81C1-E5C315DC5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1113</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Rico Alvarino, Alberto</cp:lastModifiedBy>
  <cp:revision>20</cp:revision>
  <dcterms:created xsi:type="dcterms:W3CDTF">2017-03-22T04:26:00Z</dcterms:created>
  <dcterms:modified xsi:type="dcterms:W3CDTF">2017-03-24T23:53:00Z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